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9E" w:rsidRDefault="005009A7" w:rsidP="004B409E">
      <w:pPr>
        <w:jc w:val="right"/>
        <w:rPr>
          <w:rFonts w:ascii="Times New Roman" w:hAnsi="Times New Roman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1F01FEE" wp14:editId="2405DE88">
            <wp:simplePos x="0" y="0"/>
            <wp:positionH relativeFrom="column">
              <wp:posOffset>1644066</wp:posOffset>
            </wp:positionH>
            <wp:positionV relativeFrom="page">
              <wp:posOffset>338328</wp:posOffset>
            </wp:positionV>
            <wp:extent cx="2743200" cy="909320"/>
            <wp:effectExtent l="0" t="0" r="0" b="5080"/>
            <wp:wrapSquare wrapText="bothSides"/>
            <wp:docPr id="3" name="Picture 3" descr="Final_Logo_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nal_Logo_Colo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90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9E" w:rsidRDefault="004B409E" w:rsidP="004B409E">
      <w:pPr>
        <w:pStyle w:val="Heading4"/>
      </w:pPr>
    </w:p>
    <w:p w:rsidR="004B409E" w:rsidRDefault="004B409E" w:rsidP="004B409E">
      <w:pPr>
        <w:spacing w:line="200" w:lineRule="atLeast"/>
        <w:jc w:val="right"/>
        <w:rPr>
          <w:rFonts w:ascii="Times New Roman" w:hAnsi="Times New Roman"/>
          <w:b/>
          <w:bCs/>
        </w:rPr>
      </w:pPr>
    </w:p>
    <w:p w:rsidR="005009A7" w:rsidRDefault="005009A7" w:rsidP="004B409E">
      <w:pPr>
        <w:spacing w:line="200" w:lineRule="atLeast"/>
        <w:jc w:val="right"/>
        <w:rPr>
          <w:rFonts w:ascii="Times New Roman" w:hAnsi="Times New Roman"/>
          <w:b/>
          <w:bCs/>
        </w:rPr>
      </w:pPr>
      <w:bookmarkStart w:id="0" w:name="_GoBack"/>
      <w:bookmarkEnd w:id="0"/>
    </w:p>
    <w:p w:rsidR="005009A7" w:rsidRDefault="005009A7" w:rsidP="004B409E">
      <w:pPr>
        <w:spacing w:line="200" w:lineRule="atLeast"/>
        <w:jc w:val="right"/>
        <w:rPr>
          <w:rFonts w:ascii="Times New Roman" w:hAnsi="Times New Roman"/>
          <w:b/>
          <w:bCs/>
        </w:rPr>
      </w:pPr>
    </w:p>
    <w:p w:rsidR="005009A7" w:rsidRDefault="005009A7" w:rsidP="004B409E">
      <w:pPr>
        <w:spacing w:line="200" w:lineRule="atLeast"/>
        <w:jc w:val="right"/>
        <w:rPr>
          <w:rFonts w:ascii="Times New Roman" w:hAnsi="Times New Roman"/>
          <w:b/>
          <w:bCs/>
        </w:rPr>
      </w:pPr>
    </w:p>
    <w:p w:rsidR="000946C7" w:rsidRDefault="000946C7" w:rsidP="000946C7">
      <w:pPr>
        <w:pStyle w:val="Heading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INSURANCE INFORMATION SHEET</w:t>
      </w:r>
    </w:p>
    <w:p w:rsidR="000946C7" w:rsidRDefault="000946C7" w:rsidP="000946C7"/>
    <w:p w:rsidR="000946C7" w:rsidRPr="00D30E97" w:rsidRDefault="000946C7" w:rsidP="000946C7">
      <w:pPr>
        <w:jc w:val="center"/>
        <w:rPr>
          <w:rFonts w:ascii="Arial Bold" w:hAnsi="Arial Bold" w:cs="Arial"/>
          <w:smallCaps/>
        </w:rPr>
      </w:pPr>
      <w:r>
        <w:rPr>
          <w:rFonts w:ascii="Arial Bold" w:hAnsi="Arial Bold" w:cs="Arial"/>
          <w:b/>
          <w:i/>
          <w:smallCaps/>
        </w:rPr>
        <w:t>Please pay attention to these requirements</w:t>
      </w:r>
    </w:p>
    <w:p w:rsidR="000946C7" w:rsidRDefault="000946C7" w:rsidP="000946C7">
      <w:pPr>
        <w:rPr>
          <w:rFonts w:ascii="Arial" w:hAnsi="Arial" w:cs="Arial"/>
          <w:b/>
          <w:u w:val="single"/>
        </w:rPr>
      </w:pPr>
    </w:p>
    <w:p w:rsidR="000946C7" w:rsidRDefault="000946C7" w:rsidP="000946C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u w:val="single"/>
        </w:rPr>
        <w:t>Fidelity Bond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(also known as “commercial crime bond”) carries a minimum coverage requirement of $200,000.  Maximum deductible allowed is $10,000. This bond must cover the licensee as well as each principal, corporate officer, managing member, employee and escrow officer. The insurance certificate shall either list the </w:t>
      </w:r>
      <w:proofErr w:type="gramStart"/>
      <w:r>
        <w:rPr>
          <w:rFonts w:ascii="Arial" w:hAnsi="Arial" w:cs="Arial"/>
        </w:rPr>
        <w:t>above mentioned</w:t>
      </w:r>
      <w:proofErr w:type="gramEnd"/>
      <w:r>
        <w:rPr>
          <w:rFonts w:ascii="Arial" w:hAnsi="Arial" w:cs="Arial"/>
        </w:rPr>
        <w:t xml:space="preserve"> positions, list current staff by name, or state “in compliance with Idaho Code § 30-909(1).”  Additionally, the bond must </w:t>
      </w:r>
      <w:r>
        <w:rPr>
          <w:rFonts w:ascii="Arial" w:hAnsi="Arial" w:cs="Arial"/>
          <w:szCs w:val="24"/>
        </w:rPr>
        <w:t>reference the “Idaho Department of Finance” as the Certificate Holder.</w:t>
      </w:r>
    </w:p>
    <w:p w:rsidR="000946C7" w:rsidRPr="00636095" w:rsidRDefault="000946C7" w:rsidP="000946C7">
      <w:pPr>
        <w:jc w:val="both"/>
        <w:rPr>
          <w:rFonts w:ascii="Arial" w:hAnsi="Arial" w:cs="Arial"/>
          <w:sz w:val="16"/>
          <w:szCs w:val="16"/>
        </w:rPr>
      </w:pPr>
    </w:p>
    <w:p w:rsidR="000946C7" w:rsidRDefault="000946C7" w:rsidP="000946C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u w:val="single"/>
        </w:rPr>
        <w:t>Errors &amp; Omissions Insurance</w:t>
      </w:r>
      <w:r>
        <w:rPr>
          <w:rFonts w:ascii="Arial" w:hAnsi="Arial" w:cs="Arial"/>
        </w:rPr>
        <w:t xml:space="preserve"> (also known as “professional liability”) carries a minimum coverage requirement of $50,000 and must cover the licensee; or applicant/licensee must provide other evidence of compliance with Idaho Code § 30-909(2).  Additionally, the bond must </w:t>
      </w:r>
      <w:r>
        <w:rPr>
          <w:rFonts w:ascii="Arial" w:hAnsi="Arial" w:cs="Arial"/>
          <w:szCs w:val="24"/>
        </w:rPr>
        <w:t>reference the “Idaho Department of Finance” as the Certificate Holder.</w:t>
      </w:r>
    </w:p>
    <w:p w:rsidR="000946C7" w:rsidRPr="00636095" w:rsidRDefault="000946C7" w:rsidP="000946C7">
      <w:pPr>
        <w:jc w:val="both"/>
        <w:rPr>
          <w:rFonts w:ascii="Arial" w:hAnsi="Arial" w:cs="Arial"/>
          <w:sz w:val="16"/>
          <w:szCs w:val="16"/>
        </w:rPr>
      </w:pPr>
    </w:p>
    <w:p w:rsidR="000946C7" w:rsidRDefault="000946C7" w:rsidP="000946C7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u w:val="single"/>
        </w:rPr>
        <w:t>Surety Bond</w:t>
      </w:r>
      <w:r>
        <w:rPr>
          <w:rFonts w:ascii="Arial" w:hAnsi="Arial" w:cs="Arial"/>
        </w:rPr>
        <w:t xml:space="preserve"> coverage for initial licensure is $20,000, and the applicant entity </w:t>
      </w:r>
      <w:proofErr w:type="gramStart"/>
      <w:r>
        <w:rPr>
          <w:rFonts w:ascii="Arial" w:hAnsi="Arial" w:cs="Arial"/>
        </w:rPr>
        <w:t>shall be named</w:t>
      </w:r>
      <w:proofErr w:type="gramEnd"/>
      <w:r>
        <w:rPr>
          <w:rFonts w:ascii="Arial" w:hAnsi="Arial" w:cs="Arial"/>
        </w:rPr>
        <w:t xml:space="preserve"> as principal.  Said principal must match exactly to that as filed with the Idaho Secretary of State.  Coverage at license renewals will be in accordance with Idaho Code § 30-909(3).  Any alternative to surety bond coverage must be in accordan</w:t>
      </w:r>
      <w:r w:rsidR="00D30E97">
        <w:rPr>
          <w:rFonts w:ascii="Arial" w:hAnsi="Arial" w:cs="Arial"/>
        </w:rPr>
        <w:t>ce with Idaho Code § 30-909(6).</w:t>
      </w:r>
    </w:p>
    <w:p w:rsidR="000946C7" w:rsidRDefault="000946C7" w:rsidP="000946C7">
      <w:pPr>
        <w:ind w:right="288"/>
        <w:jc w:val="both"/>
        <w:rPr>
          <w:rFonts w:ascii="Arial" w:hAnsi="Arial" w:cs="Arial"/>
          <w:sz w:val="16"/>
          <w:szCs w:val="16"/>
        </w:rPr>
      </w:pPr>
    </w:p>
    <w:p w:rsidR="000946C7" w:rsidRDefault="000946C7" w:rsidP="000946C7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  <w:u w:val="single"/>
        </w:rPr>
        <w:t>Note</w:t>
      </w:r>
      <w:r>
        <w:rPr>
          <w:rFonts w:ascii="Arial" w:hAnsi="Arial" w:cs="Arial"/>
          <w:szCs w:val="24"/>
        </w:rPr>
        <w:t xml:space="preserve">:  The Director will waive the surety bond requirement if the licensee meets their financial responsibility requirements by maintaining a $1 million fidelity bond with a deductible no greater than $10,000 and maintaining a $250,000 errors and omissions policy.  See Policy Statement No. 2007-4 dated July 23, 2007 (available on the Department’s website, </w:t>
      </w:r>
      <w:hyperlink r:id="rId8" w:history="1">
        <w:r w:rsidR="008774B5" w:rsidRPr="005C4539">
          <w:rPr>
            <w:rStyle w:val="Hyperlink"/>
            <w:rFonts w:ascii="Arial" w:hAnsi="Arial" w:cs="Arial"/>
          </w:rPr>
          <w:t>www.finance.idaho.gov</w:t>
        </w:r>
      </w:hyperlink>
      <w:r>
        <w:rPr>
          <w:rFonts w:ascii="Arial" w:hAnsi="Arial" w:cs="Arial"/>
          <w:szCs w:val="24"/>
        </w:rPr>
        <w:t>, under “Policies, Idaho Escrow Act”)</w:t>
      </w:r>
    </w:p>
    <w:p w:rsidR="000946C7" w:rsidRPr="00636095" w:rsidRDefault="000946C7" w:rsidP="000946C7">
      <w:pPr>
        <w:jc w:val="both"/>
        <w:rPr>
          <w:rFonts w:ascii="Arial" w:hAnsi="Arial" w:cs="Arial"/>
          <w:sz w:val="16"/>
          <w:szCs w:val="16"/>
        </w:rPr>
      </w:pPr>
    </w:p>
    <w:p w:rsidR="000946C7" w:rsidRDefault="000946C7" w:rsidP="000946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Cancellation notices for all insurance coverage </w:t>
      </w:r>
      <w:proofErr w:type="gramStart"/>
      <w:r>
        <w:rPr>
          <w:rFonts w:ascii="Arial" w:hAnsi="Arial" w:cs="Arial"/>
        </w:rPr>
        <w:t>must be provided</w:t>
      </w:r>
      <w:proofErr w:type="gramEnd"/>
      <w:r>
        <w:rPr>
          <w:rFonts w:ascii="Arial" w:hAnsi="Arial" w:cs="Arial"/>
        </w:rPr>
        <w:t xml:space="preserve"> to the Idaho Department of Finance in writing at least 30 days prior to cancellation.  Any disclaimers such as “</w:t>
      </w:r>
      <w:r>
        <w:rPr>
          <w:rFonts w:ascii="Arial" w:hAnsi="Arial" w:cs="Arial"/>
          <w:i/>
        </w:rPr>
        <w:t>will endeavor</w:t>
      </w:r>
      <w:r>
        <w:rPr>
          <w:rFonts w:ascii="Arial" w:hAnsi="Arial" w:cs="Arial"/>
        </w:rPr>
        <w:t>” and “</w:t>
      </w:r>
      <w:r>
        <w:rPr>
          <w:rFonts w:ascii="Arial" w:hAnsi="Arial" w:cs="Arial"/>
          <w:i/>
        </w:rPr>
        <w:t>failure to notify imposes no liability</w:t>
      </w:r>
      <w:r w:rsidR="00D30E97">
        <w:rPr>
          <w:rFonts w:ascii="Arial" w:hAnsi="Arial" w:cs="Arial"/>
        </w:rPr>
        <w:t>” are not acceptable.</w:t>
      </w:r>
    </w:p>
    <w:p w:rsidR="000946C7" w:rsidRPr="00636095" w:rsidRDefault="000946C7" w:rsidP="000946C7">
      <w:pPr>
        <w:jc w:val="both"/>
        <w:rPr>
          <w:rFonts w:ascii="Arial" w:hAnsi="Arial" w:cs="Arial"/>
          <w:sz w:val="16"/>
          <w:szCs w:val="16"/>
        </w:rPr>
      </w:pPr>
    </w:p>
    <w:p w:rsidR="000946C7" w:rsidRDefault="000946C7" w:rsidP="000946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Reinstatement notices and renewals of coverage are the responsibility of the applicant/licensee to provide and place on file with the Department, not that of the insurance provider.</w:t>
      </w:r>
    </w:p>
    <w:p w:rsidR="000946C7" w:rsidRDefault="000946C7" w:rsidP="000946C7">
      <w:pPr>
        <w:rPr>
          <w:rFonts w:ascii="Arial" w:hAnsi="Arial" w:cs="Arial"/>
        </w:rPr>
      </w:pPr>
    </w:p>
    <w:p w:rsidR="004B409E" w:rsidRDefault="004B409E" w:rsidP="004B409E">
      <w:pPr>
        <w:pStyle w:val="Title"/>
        <w:jc w:val="left"/>
        <w:rPr>
          <w:rFonts w:ascii="Times New Roman" w:hAnsi="Times New Roman"/>
          <w:sz w:val="24"/>
        </w:rPr>
      </w:pPr>
    </w:p>
    <w:p w:rsidR="00B604C3" w:rsidRDefault="00B604C3" w:rsidP="004B409E">
      <w:pPr>
        <w:pStyle w:val="Header"/>
        <w:jc w:val="center"/>
        <w:rPr>
          <w:rFonts w:ascii="Arial" w:hAnsi="Arial" w:cs="Arial"/>
          <w:b/>
          <w:color w:val="000000"/>
          <w:sz w:val="20"/>
          <w:u w:val="single"/>
        </w:rPr>
      </w:pPr>
      <w:r>
        <w:rPr>
          <w:rFonts w:ascii="Arial" w:hAnsi="Arial" w:cs="Arial"/>
          <w:b/>
          <w:color w:val="000000"/>
          <w:sz w:val="20"/>
          <w:u w:val="single"/>
        </w:rPr>
        <w:t>IDAHO DEPARTMENT OF FINANCE</w:t>
      </w:r>
    </w:p>
    <w:p w:rsidR="004B409E" w:rsidRPr="007D29FA" w:rsidRDefault="004B409E" w:rsidP="004B409E">
      <w:pPr>
        <w:pStyle w:val="Header"/>
        <w:jc w:val="center"/>
        <w:rPr>
          <w:rFonts w:ascii="Arial" w:hAnsi="Arial" w:cs="Arial"/>
          <w:b/>
          <w:color w:val="000000"/>
          <w:sz w:val="20"/>
          <w:u w:val="single"/>
        </w:rPr>
      </w:pPr>
      <w:r w:rsidRPr="007D29FA">
        <w:rPr>
          <w:rFonts w:ascii="Arial" w:hAnsi="Arial" w:cs="Arial"/>
          <w:b/>
          <w:color w:val="000000"/>
          <w:sz w:val="20"/>
          <w:u w:val="single"/>
        </w:rPr>
        <w:t>S</w:t>
      </w:r>
      <w:r w:rsidR="00B604C3">
        <w:rPr>
          <w:rFonts w:ascii="Arial" w:hAnsi="Arial" w:cs="Arial"/>
          <w:b/>
          <w:color w:val="000000"/>
          <w:sz w:val="20"/>
          <w:u w:val="single"/>
        </w:rPr>
        <w:t>ecurities</w:t>
      </w:r>
      <w:r w:rsidRPr="007D29FA">
        <w:rPr>
          <w:rFonts w:ascii="Arial" w:hAnsi="Arial" w:cs="Arial"/>
          <w:b/>
          <w:color w:val="000000"/>
          <w:sz w:val="20"/>
          <w:u w:val="single"/>
        </w:rPr>
        <w:t xml:space="preserve"> B</w:t>
      </w:r>
      <w:r w:rsidR="00B604C3">
        <w:rPr>
          <w:rFonts w:ascii="Arial" w:hAnsi="Arial" w:cs="Arial"/>
          <w:b/>
          <w:color w:val="000000"/>
          <w:sz w:val="20"/>
          <w:u w:val="single"/>
        </w:rPr>
        <w:t>ureau</w:t>
      </w:r>
    </w:p>
    <w:p w:rsidR="004B409E" w:rsidRPr="007D29FA" w:rsidRDefault="004B409E" w:rsidP="004B409E">
      <w:pPr>
        <w:pStyle w:val="Header"/>
        <w:jc w:val="center"/>
        <w:rPr>
          <w:rFonts w:ascii="Arial" w:hAnsi="Arial" w:cs="Arial"/>
          <w:b/>
          <w:color w:val="000000"/>
          <w:sz w:val="20"/>
        </w:rPr>
      </w:pPr>
      <w:r w:rsidRPr="007D29FA">
        <w:rPr>
          <w:rFonts w:ascii="Arial" w:hAnsi="Arial" w:cs="Arial"/>
          <w:b/>
          <w:color w:val="000000"/>
          <w:sz w:val="20"/>
        </w:rPr>
        <w:t>800 Park Boulevard, Suite 200, Boise, ID 83712</w:t>
      </w:r>
    </w:p>
    <w:p w:rsidR="004B409E" w:rsidRPr="007D29FA" w:rsidRDefault="004B409E" w:rsidP="004B409E">
      <w:pPr>
        <w:pStyle w:val="Header"/>
        <w:jc w:val="center"/>
        <w:rPr>
          <w:rFonts w:ascii="Arial" w:hAnsi="Arial" w:cs="Arial"/>
          <w:b/>
          <w:color w:val="000000"/>
          <w:sz w:val="20"/>
        </w:rPr>
      </w:pPr>
      <w:r w:rsidRPr="007D29FA">
        <w:rPr>
          <w:rFonts w:ascii="Arial" w:hAnsi="Arial" w:cs="Arial"/>
          <w:b/>
          <w:color w:val="000000"/>
          <w:sz w:val="20"/>
        </w:rPr>
        <w:t>Mail To:  P.O. Box 83720, Boise ID 83720-0031</w:t>
      </w:r>
    </w:p>
    <w:p w:rsidR="004B409E" w:rsidRPr="007D29FA" w:rsidRDefault="004B409E" w:rsidP="004B409E">
      <w:pPr>
        <w:tabs>
          <w:tab w:val="left" w:pos="9930"/>
          <w:tab w:val="right" w:pos="11520"/>
        </w:tabs>
        <w:jc w:val="center"/>
        <w:rPr>
          <w:rFonts w:ascii="Arial" w:hAnsi="Arial" w:cs="Arial"/>
          <w:b/>
          <w:color w:val="000000"/>
          <w:sz w:val="20"/>
        </w:rPr>
      </w:pPr>
      <w:r w:rsidRPr="007D29FA">
        <w:rPr>
          <w:rFonts w:ascii="Arial" w:hAnsi="Arial" w:cs="Arial"/>
          <w:b/>
          <w:color w:val="000000"/>
          <w:sz w:val="20"/>
        </w:rPr>
        <w:t>Phone: (208) 332-</w:t>
      </w:r>
      <w:proofErr w:type="gramStart"/>
      <w:r w:rsidRPr="007D29FA">
        <w:rPr>
          <w:rFonts w:ascii="Arial" w:hAnsi="Arial" w:cs="Arial"/>
          <w:b/>
          <w:color w:val="000000"/>
          <w:sz w:val="20"/>
        </w:rPr>
        <w:t>8004  Fax</w:t>
      </w:r>
      <w:proofErr w:type="gramEnd"/>
      <w:r w:rsidRPr="007D29FA">
        <w:rPr>
          <w:rFonts w:ascii="Arial" w:hAnsi="Arial" w:cs="Arial"/>
          <w:b/>
          <w:color w:val="000000"/>
          <w:sz w:val="20"/>
        </w:rPr>
        <w:t>: (208) 332-8099</w:t>
      </w:r>
    </w:p>
    <w:p w:rsidR="004B409E" w:rsidRPr="007D29FA" w:rsidRDefault="00C90347" w:rsidP="004B409E">
      <w:pPr>
        <w:tabs>
          <w:tab w:val="left" w:pos="9930"/>
          <w:tab w:val="right" w:pos="11520"/>
        </w:tabs>
        <w:jc w:val="center"/>
        <w:rPr>
          <w:rFonts w:ascii="Arial" w:hAnsi="Arial" w:cs="Arial"/>
          <w:b/>
          <w:caps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http://www.</w:t>
      </w:r>
      <w:r w:rsidR="004B409E" w:rsidRPr="007D29FA">
        <w:rPr>
          <w:rFonts w:ascii="Arial" w:hAnsi="Arial" w:cs="Arial"/>
          <w:b/>
          <w:color w:val="000000"/>
          <w:sz w:val="20"/>
        </w:rPr>
        <w:t>finance.idaho.gov</w:t>
      </w:r>
    </w:p>
    <w:p w:rsidR="004B409E" w:rsidRPr="007D29FA" w:rsidRDefault="004B409E" w:rsidP="004B409E">
      <w:pPr>
        <w:pStyle w:val="Title"/>
        <w:jc w:val="left"/>
        <w:rPr>
          <w:rFonts w:ascii="Arial" w:hAnsi="Arial" w:cs="Arial"/>
          <w:sz w:val="24"/>
        </w:rPr>
      </w:pPr>
    </w:p>
    <w:p w:rsidR="004B409E" w:rsidRPr="000946C7" w:rsidRDefault="004B409E" w:rsidP="000946C7">
      <w:pPr>
        <w:pStyle w:val="Title"/>
        <w:rPr>
          <w:rFonts w:ascii="Times New Roman" w:hAnsi="Times New Roman"/>
          <w:b/>
          <w:bCs/>
          <w:sz w:val="24"/>
        </w:rPr>
      </w:pPr>
      <w:r w:rsidRPr="007D29FA">
        <w:rPr>
          <w:rFonts w:ascii="Arial" w:hAnsi="Arial" w:cs="Arial"/>
          <w:b/>
          <w:bCs/>
          <w:sz w:val="24"/>
        </w:rPr>
        <w:t>PROTECTING THE INTEGRITY OF IDAHO FINANCIAL MARKETS</w:t>
      </w:r>
    </w:p>
    <w:sectPr w:rsidR="004B409E" w:rsidRPr="000946C7" w:rsidSect="00665A92">
      <w:footerReference w:type="default" r:id="rId9"/>
      <w:pgSz w:w="12240" w:h="15840"/>
      <w:pgMar w:top="63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8DA" w:rsidRDefault="00C658DA" w:rsidP="00665A92">
      <w:r>
        <w:separator/>
      </w:r>
    </w:p>
  </w:endnote>
  <w:endnote w:type="continuationSeparator" w:id="0">
    <w:p w:rsidR="00C658DA" w:rsidRDefault="00C658DA" w:rsidP="00665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8DA" w:rsidRDefault="00C658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8DA" w:rsidRDefault="00C658DA" w:rsidP="00665A92">
      <w:r>
        <w:separator/>
      </w:r>
    </w:p>
  </w:footnote>
  <w:footnote w:type="continuationSeparator" w:id="0">
    <w:p w:rsidR="00C658DA" w:rsidRDefault="00C658DA" w:rsidP="00665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6469D"/>
    <w:multiLevelType w:val="hybridMultilevel"/>
    <w:tmpl w:val="70C80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378C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9E"/>
    <w:rsid w:val="00064F05"/>
    <w:rsid w:val="000946C7"/>
    <w:rsid w:val="000A1B40"/>
    <w:rsid w:val="00140A61"/>
    <w:rsid w:val="001A3523"/>
    <w:rsid w:val="002847D1"/>
    <w:rsid w:val="002E248E"/>
    <w:rsid w:val="002F4E5C"/>
    <w:rsid w:val="003165B0"/>
    <w:rsid w:val="003247DA"/>
    <w:rsid w:val="003377E1"/>
    <w:rsid w:val="00403B73"/>
    <w:rsid w:val="00430D70"/>
    <w:rsid w:val="004419E3"/>
    <w:rsid w:val="00467BC7"/>
    <w:rsid w:val="00481070"/>
    <w:rsid w:val="004B409E"/>
    <w:rsid w:val="005009A7"/>
    <w:rsid w:val="005520B6"/>
    <w:rsid w:val="00583AF7"/>
    <w:rsid w:val="005A0807"/>
    <w:rsid w:val="005A56FC"/>
    <w:rsid w:val="005B5F68"/>
    <w:rsid w:val="005E1981"/>
    <w:rsid w:val="00636095"/>
    <w:rsid w:val="0064353E"/>
    <w:rsid w:val="00656F44"/>
    <w:rsid w:val="00665A92"/>
    <w:rsid w:val="006A39D2"/>
    <w:rsid w:val="006D2745"/>
    <w:rsid w:val="006D51B2"/>
    <w:rsid w:val="006F072B"/>
    <w:rsid w:val="00740E17"/>
    <w:rsid w:val="007500B4"/>
    <w:rsid w:val="007D29FA"/>
    <w:rsid w:val="007E7BEA"/>
    <w:rsid w:val="008774B5"/>
    <w:rsid w:val="008B5DB7"/>
    <w:rsid w:val="00A13ED3"/>
    <w:rsid w:val="00A2198C"/>
    <w:rsid w:val="00A32895"/>
    <w:rsid w:val="00A70A81"/>
    <w:rsid w:val="00B30803"/>
    <w:rsid w:val="00B604C3"/>
    <w:rsid w:val="00B91E16"/>
    <w:rsid w:val="00BC02A7"/>
    <w:rsid w:val="00C23731"/>
    <w:rsid w:val="00C461E3"/>
    <w:rsid w:val="00C658DA"/>
    <w:rsid w:val="00C70836"/>
    <w:rsid w:val="00C74563"/>
    <w:rsid w:val="00C90347"/>
    <w:rsid w:val="00C9697A"/>
    <w:rsid w:val="00D30E97"/>
    <w:rsid w:val="00D37BD8"/>
    <w:rsid w:val="00D97D3A"/>
    <w:rsid w:val="00E133E7"/>
    <w:rsid w:val="00E62654"/>
    <w:rsid w:val="00E921C3"/>
    <w:rsid w:val="00EF0DF9"/>
    <w:rsid w:val="00F10B13"/>
    <w:rsid w:val="00F221A6"/>
    <w:rsid w:val="00F70EFF"/>
    <w:rsid w:val="00FD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0CFDB2F0"/>
  <w15:docId w15:val="{40930A76-A8B1-4CF5-A851-2BED4446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09E"/>
    <w:pPr>
      <w:widowControl w:val="0"/>
      <w:snapToGrid w:val="0"/>
      <w:spacing w:after="0" w:line="240" w:lineRule="auto"/>
    </w:pPr>
    <w:rPr>
      <w:rFonts w:ascii="CG Times" w:eastAsia="Times New Roman" w:hAnsi="CG 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4B409E"/>
    <w:pPr>
      <w:keepNext/>
      <w:widowControl/>
      <w:snapToGrid/>
      <w:jc w:val="center"/>
      <w:outlineLvl w:val="0"/>
    </w:pPr>
    <w:rPr>
      <w:rFonts w:ascii="Times New Roman" w:hAnsi="Times New Roman"/>
      <w:szCs w:val="24"/>
      <w:u w:val="single"/>
    </w:rPr>
  </w:style>
  <w:style w:type="paragraph" w:styleId="Heading3">
    <w:name w:val="heading 3"/>
    <w:basedOn w:val="Normal"/>
    <w:next w:val="Normal"/>
    <w:link w:val="Heading3Char"/>
    <w:unhideWhenUsed/>
    <w:qFormat/>
    <w:rsid w:val="004B409E"/>
    <w:pPr>
      <w:keepNext/>
      <w:autoSpaceDE w:val="0"/>
      <w:autoSpaceDN w:val="0"/>
      <w:adjustRightInd w:val="0"/>
      <w:snapToGrid/>
      <w:outlineLvl w:val="2"/>
    </w:pPr>
    <w:rPr>
      <w:rFonts w:ascii="Arial" w:hAnsi="Arial"/>
      <w:b/>
      <w:sz w:val="18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B409E"/>
    <w:pPr>
      <w:keepNext/>
      <w:spacing w:line="120" w:lineRule="atLeast"/>
      <w:jc w:val="right"/>
      <w:outlineLvl w:val="3"/>
    </w:pPr>
    <w:rPr>
      <w:rFonts w:ascii="Times New Roman" w:hAnsi="Times New Roman"/>
      <w:b/>
      <w:bCs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B409E"/>
    <w:pPr>
      <w:keepNext/>
      <w:jc w:val="both"/>
      <w:outlineLvl w:val="4"/>
    </w:pPr>
    <w:rPr>
      <w:rFonts w:ascii="Times New Roman" w:hAnsi="Times New Roman"/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nhideWhenUsed/>
    <w:qFormat/>
    <w:rsid w:val="004B409E"/>
    <w:pPr>
      <w:keepNext/>
      <w:framePr w:wrap="auto" w:hAnchor="text" w:x="358"/>
      <w:autoSpaceDE w:val="0"/>
      <w:autoSpaceDN w:val="0"/>
      <w:adjustRightInd w:val="0"/>
      <w:snapToGrid/>
      <w:jc w:val="center"/>
      <w:outlineLvl w:val="5"/>
    </w:pPr>
    <w:rPr>
      <w:rFonts w:ascii="Arial" w:hAnsi="Arial" w:cs="Arial"/>
      <w:b/>
      <w:sz w:val="16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4B409E"/>
    <w:pPr>
      <w:keepNext/>
      <w:tabs>
        <w:tab w:val="left" w:pos="-1180"/>
        <w:tab w:val="left" w:pos="-720"/>
        <w:tab w:val="left" w:pos="0"/>
        <w:tab w:val="left" w:pos="720"/>
        <w:tab w:val="left" w:pos="1440"/>
        <w:tab w:val="left" w:pos="1800"/>
        <w:tab w:val="left" w:pos="2250"/>
        <w:tab w:val="left" w:leader="dot" w:pos="7920"/>
        <w:tab w:val="left" w:pos="8640"/>
        <w:tab w:val="left" w:pos="9360"/>
      </w:tabs>
      <w:autoSpaceDE w:val="0"/>
      <w:autoSpaceDN w:val="0"/>
      <w:adjustRightInd w:val="0"/>
      <w:snapToGrid/>
      <w:ind w:firstLine="1800"/>
      <w:outlineLvl w:val="8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409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4B409E"/>
    <w:rPr>
      <w:rFonts w:ascii="Arial" w:eastAsia="Times New Roman" w:hAnsi="Arial" w:cs="Times New Roman"/>
      <w:b/>
      <w:sz w:val="18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4B409E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4B409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4B409E"/>
    <w:rPr>
      <w:rFonts w:ascii="Arial" w:eastAsia="Times New Roman" w:hAnsi="Arial" w:cs="Arial"/>
      <w:b/>
      <w:sz w:val="16"/>
      <w:szCs w:val="24"/>
    </w:rPr>
  </w:style>
  <w:style w:type="character" w:customStyle="1" w:styleId="Heading9Char">
    <w:name w:val="Heading 9 Char"/>
    <w:basedOn w:val="DefaultParagraphFont"/>
    <w:link w:val="Heading9"/>
    <w:rsid w:val="004B409E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nhideWhenUsed/>
    <w:rsid w:val="004B409E"/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4B409E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nhideWhenUsed/>
    <w:rsid w:val="004B409E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rsid w:val="004B409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B409E"/>
    <w:pPr>
      <w:tabs>
        <w:tab w:val="center" w:pos="4320"/>
        <w:tab w:val="right" w:pos="8640"/>
      </w:tabs>
      <w:autoSpaceDE w:val="0"/>
      <w:autoSpaceDN w:val="0"/>
      <w:adjustRightInd w:val="0"/>
      <w:snapToGrid/>
    </w:pPr>
    <w:rPr>
      <w:rFonts w:ascii="Univers" w:hAnsi="Univers"/>
      <w:sz w:val="20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B409E"/>
    <w:rPr>
      <w:rFonts w:ascii="Univers" w:eastAsia="Times New Roman" w:hAnsi="Univers" w:cs="Times New Roman"/>
      <w:sz w:val="20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4B409E"/>
    <w:pPr>
      <w:framePr w:w="4387" w:h="901" w:hSpace="240" w:vSpace="240" w:wrap="auto" w:vAnchor="text" w:hAnchor="page" w:x="7264" w:y="2"/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pct5" w:color="000000" w:fill="FFFFFF"/>
      <w:tabs>
        <w:tab w:val="right" w:pos="4406"/>
      </w:tabs>
      <w:snapToGrid/>
    </w:pPr>
    <w:rPr>
      <w:rFonts w:ascii="Times New Roman" w:hAnsi="Times New Roman"/>
      <w:b/>
      <w:sz w:val="22"/>
      <w:szCs w:val="24"/>
    </w:rPr>
  </w:style>
  <w:style w:type="paragraph" w:styleId="Title">
    <w:name w:val="Title"/>
    <w:basedOn w:val="Normal"/>
    <w:link w:val="TitleChar"/>
    <w:qFormat/>
    <w:rsid w:val="004B409E"/>
    <w:pPr>
      <w:jc w:val="center"/>
    </w:pPr>
    <w:rPr>
      <w:sz w:val="48"/>
    </w:rPr>
  </w:style>
  <w:style w:type="character" w:customStyle="1" w:styleId="TitleChar">
    <w:name w:val="Title Char"/>
    <w:basedOn w:val="DefaultParagraphFont"/>
    <w:link w:val="Title"/>
    <w:rsid w:val="004B409E"/>
    <w:rPr>
      <w:rFonts w:ascii="CG Times" w:eastAsia="Times New Roman" w:hAnsi="CG Times" w:cs="Times New Roman"/>
      <w:sz w:val="48"/>
      <w:szCs w:val="20"/>
    </w:rPr>
  </w:style>
  <w:style w:type="paragraph" w:styleId="BodyText">
    <w:name w:val="Body Text"/>
    <w:basedOn w:val="Normal"/>
    <w:link w:val="BodyTextChar"/>
    <w:semiHidden/>
    <w:unhideWhenUsed/>
    <w:rsid w:val="004B409E"/>
    <w:pPr>
      <w:tabs>
        <w:tab w:val="left" w:pos="-2010"/>
        <w:tab w:val="left" w:pos="-1920"/>
      </w:tabs>
      <w:autoSpaceDE w:val="0"/>
      <w:autoSpaceDN w:val="0"/>
      <w:adjustRightInd w:val="0"/>
      <w:snapToGrid/>
    </w:pPr>
    <w:rPr>
      <w:rFonts w:ascii="Arial" w:hAnsi="Arial" w:cs="Arial"/>
      <w:b/>
      <w:sz w:val="16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4B409E"/>
    <w:rPr>
      <w:rFonts w:ascii="Arial" w:eastAsia="Times New Roman" w:hAnsi="Arial" w:cs="Arial"/>
      <w:b/>
      <w:sz w:val="16"/>
      <w:szCs w:val="24"/>
    </w:rPr>
  </w:style>
  <w:style w:type="paragraph" w:styleId="BodyText2">
    <w:name w:val="Body Text 2"/>
    <w:basedOn w:val="Normal"/>
    <w:link w:val="BodyText2Char"/>
    <w:unhideWhenUsed/>
    <w:rsid w:val="004B409E"/>
    <w:pPr>
      <w:tabs>
        <w:tab w:val="left" w:pos="2420"/>
        <w:tab w:val="left" w:pos="5760"/>
      </w:tabs>
      <w:suppressAutoHyphens/>
      <w:snapToGrid/>
      <w:ind w:right="-432"/>
    </w:pPr>
    <w:rPr>
      <w:rFonts w:ascii="Times New Roman" w:hAnsi="Times New Roman"/>
      <w:spacing w:val="-2"/>
    </w:rPr>
  </w:style>
  <w:style w:type="character" w:customStyle="1" w:styleId="BodyText2Char">
    <w:name w:val="Body Text 2 Char"/>
    <w:basedOn w:val="DefaultParagraphFont"/>
    <w:link w:val="BodyText2"/>
    <w:rsid w:val="004B409E"/>
    <w:rPr>
      <w:rFonts w:ascii="Times New Roman" w:eastAsia="Times New Roman" w:hAnsi="Times New Roman" w:cs="Times New Roman"/>
      <w:spacing w:val="-2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4B409E"/>
    <w:pPr>
      <w:tabs>
        <w:tab w:val="left" w:pos="2880"/>
        <w:tab w:val="left" w:pos="5760"/>
      </w:tabs>
      <w:suppressAutoHyphens/>
      <w:snapToGrid/>
      <w:ind w:right="-741"/>
    </w:pPr>
    <w:rPr>
      <w:rFonts w:ascii="Times New Roman" w:hAnsi="Times New Roman"/>
      <w:spacing w:val="-2"/>
    </w:rPr>
  </w:style>
  <w:style w:type="character" w:customStyle="1" w:styleId="BodyText3Char">
    <w:name w:val="Body Text 3 Char"/>
    <w:basedOn w:val="DefaultParagraphFont"/>
    <w:link w:val="BodyText3"/>
    <w:rsid w:val="004B409E"/>
    <w:rPr>
      <w:rFonts w:ascii="Times New Roman" w:eastAsia="Times New Roman" w:hAnsi="Times New Roman" w:cs="Times New Roman"/>
      <w:spacing w:val="-2"/>
      <w:sz w:val="24"/>
      <w:szCs w:val="20"/>
    </w:rPr>
  </w:style>
  <w:style w:type="paragraph" w:styleId="BodyTextIndent3">
    <w:name w:val="Body Text Indent 3"/>
    <w:basedOn w:val="Normal"/>
    <w:link w:val="BodyTextIndent3Char"/>
    <w:unhideWhenUsed/>
    <w:rsid w:val="004B409E"/>
    <w:pPr>
      <w:widowControl/>
      <w:tabs>
        <w:tab w:val="left" w:pos="360"/>
      </w:tabs>
      <w:snapToGrid/>
      <w:ind w:left="399" w:hanging="399"/>
      <w:jc w:val="both"/>
    </w:pPr>
    <w:rPr>
      <w:rFonts w:ascii="Times New Roman" w:hAnsi="Times New Roman"/>
      <w:sz w:val="18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4B409E"/>
    <w:rPr>
      <w:rFonts w:ascii="Times New Roman" w:eastAsia="Times New Roman" w:hAnsi="Times New Roman" w:cs="Times New Roman"/>
      <w:sz w:val="18"/>
      <w:szCs w:val="24"/>
    </w:rPr>
  </w:style>
  <w:style w:type="paragraph" w:customStyle="1" w:styleId="FaxNumber">
    <w:name w:val="FaxNumber"/>
    <w:basedOn w:val="Normal"/>
    <w:rsid w:val="004B409E"/>
    <w:pPr>
      <w:widowControl/>
      <w:snapToGrid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0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09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97D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4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idaho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 Witt</dc:creator>
  <cp:lastModifiedBy>Mary Harper</cp:lastModifiedBy>
  <cp:revision>3</cp:revision>
  <cp:lastPrinted>2014-03-17T15:27:00Z</cp:lastPrinted>
  <dcterms:created xsi:type="dcterms:W3CDTF">2019-01-24T15:36:00Z</dcterms:created>
  <dcterms:modified xsi:type="dcterms:W3CDTF">2019-01-24T15:37:00Z</dcterms:modified>
</cp:coreProperties>
</file>