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0C9" w:rsidRDefault="00A210C9" w:rsidP="00DF5289">
      <w:pPr>
        <w:shd w:val="clear" w:color="auto" w:fill="FFFFF9"/>
        <w:spacing w:before="100" w:beforeAutospacing="1" w:after="100" w:afterAutospacing="1" w:line="240" w:lineRule="auto"/>
        <w:jc w:val="center"/>
        <w:outlineLvl w:val="1"/>
        <w:rPr>
          <w:rFonts w:ascii="Verdana" w:eastAsia="Times New Roman" w:hAnsi="Verdana" w:cs="Times New Roman"/>
          <w:b/>
          <w:bCs/>
          <w:color w:val="FF0000"/>
          <w:sz w:val="20"/>
          <w:szCs w:val="20"/>
          <w:u w:val="single"/>
        </w:rPr>
      </w:pPr>
    </w:p>
    <w:p w:rsidR="00353104" w:rsidRPr="00353104" w:rsidRDefault="00353104" w:rsidP="00DF5289">
      <w:pPr>
        <w:shd w:val="clear" w:color="auto" w:fill="FFFFF9"/>
        <w:spacing w:before="100" w:beforeAutospacing="1" w:after="100" w:afterAutospacing="1" w:line="240" w:lineRule="auto"/>
        <w:jc w:val="center"/>
        <w:outlineLvl w:val="1"/>
        <w:rPr>
          <w:rFonts w:ascii="Verdana" w:eastAsia="Times New Roman" w:hAnsi="Verdana" w:cs="Times New Roman"/>
          <w:b/>
          <w:bCs/>
          <w:color w:val="FF0000"/>
          <w:sz w:val="20"/>
          <w:szCs w:val="20"/>
        </w:rPr>
      </w:pPr>
      <w:r w:rsidRPr="00DF5289">
        <w:rPr>
          <w:rFonts w:ascii="Verdana" w:eastAsia="Times New Roman" w:hAnsi="Verdana" w:cs="Times New Roman"/>
          <w:b/>
          <w:bCs/>
          <w:color w:val="FF0000"/>
          <w:sz w:val="20"/>
          <w:szCs w:val="20"/>
          <w:u w:val="single"/>
        </w:rPr>
        <w:t>IMPORTANT NOTICE</w:t>
      </w:r>
      <w:r w:rsidR="00DF5289">
        <w:rPr>
          <w:rFonts w:ascii="Verdana" w:eastAsia="Times New Roman" w:hAnsi="Verdana" w:cs="Times New Roman"/>
          <w:b/>
          <w:bCs/>
          <w:color w:val="FF0000"/>
          <w:sz w:val="20"/>
          <w:szCs w:val="20"/>
        </w:rPr>
        <w:t xml:space="preserve"> for Idaho Based State Regulated Investment Adviser Firms</w:t>
      </w:r>
    </w:p>
    <w:p w:rsidR="00353104" w:rsidRPr="00353104" w:rsidRDefault="00353104" w:rsidP="00353104">
      <w:pPr>
        <w:shd w:val="clear" w:color="auto" w:fill="FFFFF9"/>
        <w:spacing w:before="100" w:beforeAutospacing="1" w:after="100" w:afterAutospacing="1" w:line="240" w:lineRule="auto"/>
        <w:jc w:val="center"/>
        <w:outlineLvl w:val="1"/>
        <w:rPr>
          <w:rFonts w:ascii="Verdana" w:eastAsia="Times New Roman" w:hAnsi="Verdana" w:cs="Times New Roman"/>
          <w:b/>
          <w:bCs/>
          <w:color w:val="333333"/>
          <w:sz w:val="20"/>
          <w:szCs w:val="20"/>
          <w:u w:val="single"/>
        </w:rPr>
      </w:pPr>
      <w:r w:rsidRPr="00353104">
        <w:rPr>
          <w:rFonts w:ascii="Verdana" w:eastAsia="Times New Roman" w:hAnsi="Verdana" w:cs="Times New Roman"/>
          <w:b/>
          <w:bCs/>
          <w:color w:val="333333"/>
          <w:sz w:val="20"/>
          <w:szCs w:val="20"/>
          <w:u w:val="single"/>
        </w:rPr>
        <w:t>AVOIDING COMMON DEFICIENCIES FOUND IN INVESTMENT ADVISER APPLICATIONS</w:t>
      </w:r>
    </w:p>
    <w:p w:rsidR="00353104" w:rsidRPr="00353104" w:rsidRDefault="00873EE7" w:rsidP="00F52F81">
      <w:pPr>
        <w:shd w:val="clear" w:color="auto" w:fill="FFFFF9"/>
        <w:spacing w:before="75" w:after="120" w:line="240" w:lineRule="atLeast"/>
        <w:jc w:val="both"/>
        <w:rPr>
          <w:rFonts w:ascii="Verdana" w:eastAsia="Times New Roman" w:hAnsi="Verdana" w:cs="Times New Roman"/>
          <w:color w:val="333333"/>
          <w:sz w:val="17"/>
          <w:szCs w:val="17"/>
        </w:rPr>
      </w:pPr>
      <w:r>
        <w:rPr>
          <w:rFonts w:ascii="Verdana" w:eastAsia="Times New Roman" w:hAnsi="Verdana" w:cs="Times New Roman"/>
          <w:color w:val="333333"/>
          <w:sz w:val="17"/>
          <w:szCs w:val="17"/>
        </w:rPr>
        <w:t>The Analysts of the Securities Bureau</w:t>
      </w:r>
      <w:r w:rsidR="00353104" w:rsidRPr="00353104">
        <w:rPr>
          <w:rFonts w:ascii="Verdana" w:eastAsia="Times New Roman" w:hAnsi="Verdana" w:cs="Times New Roman"/>
          <w:color w:val="333333"/>
          <w:sz w:val="17"/>
          <w:szCs w:val="17"/>
        </w:rPr>
        <w:t xml:space="preserve"> are responsible for reviewing and issuing comment letters to those persons who apply for registration as investment advisers and investment adviser representatives. Avoiding common deficiencies when preparing Form ADV Parts 1 and 2 an</w:t>
      </w:r>
      <w:r w:rsidR="00D9658B">
        <w:rPr>
          <w:rFonts w:ascii="Verdana" w:eastAsia="Times New Roman" w:hAnsi="Verdana" w:cs="Times New Roman"/>
          <w:color w:val="333333"/>
          <w:sz w:val="17"/>
          <w:szCs w:val="17"/>
        </w:rPr>
        <w:t>d investment advisory contracts</w:t>
      </w:r>
      <w:r w:rsidR="00353104" w:rsidRPr="00353104">
        <w:rPr>
          <w:rFonts w:ascii="Verdana" w:eastAsia="Times New Roman" w:hAnsi="Verdana" w:cs="Times New Roman"/>
          <w:color w:val="333333"/>
          <w:sz w:val="17"/>
          <w:szCs w:val="17"/>
        </w:rPr>
        <w:t xml:space="preserve"> will help speed up </w:t>
      </w:r>
      <w:r w:rsidR="005A4066">
        <w:rPr>
          <w:rFonts w:ascii="Verdana" w:eastAsia="Times New Roman" w:hAnsi="Verdana" w:cs="Times New Roman"/>
          <w:color w:val="333333"/>
          <w:sz w:val="17"/>
          <w:szCs w:val="17"/>
        </w:rPr>
        <w:t>the review of your application.</w:t>
      </w:r>
    </w:p>
    <w:p w:rsidR="00353104" w:rsidRPr="00353104" w:rsidRDefault="00353104" w:rsidP="00F52F81">
      <w:pPr>
        <w:shd w:val="clear" w:color="auto" w:fill="FFFFF9"/>
        <w:spacing w:before="75" w:after="120" w:line="240" w:lineRule="atLeast"/>
        <w:jc w:val="both"/>
        <w:rPr>
          <w:rFonts w:ascii="Verdana" w:eastAsia="Times New Roman" w:hAnsi="Verdana" w:cs="Times New Roman"/>
          <w:color w:val="333333"/>
          <w:sz w:val="17"/>
          <w:szCs w:val="17"/>
        </w:rPr>
      </w:pPr>
      <w:r w:rsidRPr="00353104">
        <w:rPr>
          <w:rFonts w:ascii="Verdana" w:eastAsia="Times New Roman" w:hAnsi="Verdana" w:cs="Times New Roman"/>
          <w:color w:val="333333"/>
          <w:sz w:val="17"/>
          <w:szCs w:val="17"/>
        </w:rPr>
        <w:t>The most common errors found in an application are related to inconsistencies between Part 1, as filed on the IARD system; the new "plain language" narrative Part 2; and th</w:t>
      </w:r>
      <w:r w:rsidR="00D9658B">
        <w:rPr>
          <w:rFonts w:ascii="Verdana" w:eastAsia="Times New Roman" w:hAnsi="Verdana" w:cs="Times New Roman"/>
          <w:color w:val="333333"/>
          <w:sz w:val="17"/>
          <w:szCs w:val="17"/>
        </w:rPr>
        <w:t xml:space="preserve">e investment advisory </w:t>
      </w:r>
      <w:r w:rsidR="005A4066">
        <w:rPr>
          <w:rFonts w:ascii="Verdana" w:eastAsia="Times New Roman" w:hAnsi="Verdana" w:cs="Times New Roman"/>
          <w:color w:val="333333"/>
          <w:sz w:val="17"/>
          <w:szCs w:val="17"/>
        </w:rPr>
        <w:t>contract.</w:t>
      </w:r>
    </w:p>
    <w:p w:rsidR="00353104" w:rsidRPr="00353104" w:rsidRDefault="00353104" w:rsidP="00F52F81">
      <w:pPr>
        <w:shd w:val="clear" w:color="auto" w:fill="FFFFF9"/>
        <w:spacing w:before="100" w:beforeAutospacing="1" w:after="100" w:afterAutospacing="1" w:line="240" w:lineRule="auto"/>
        <w:jc w:val="center"/>
        <w:outlineLvl w:val="1"/>
        <w:rPr>
          <w:rFonts w:ascii="Verdana" w:eastAsia="Times New Roman" w:hAnsi="Verdana" w:cs="Times New Roman"/>
          <w:b/>
          <w:bCs/>
          <w:color w:val="333333"/>
          <w:sz w:val="20"/>
          <w:szCs w:val="20"/>
          <w:u w:val="single"/>
        </w:rPr>
      </w:pPr>
      <w:r w:rsidRPr="00353104">
        <w:rPr>
          <w:rFonts w:ascii="Verdana" w:eastAsia="Times New Roman" w:hAnsi="Verdana" w:cs="Times New Roman"/>
          <w:b/>
          <w:bCs/>
          <w:color w:val="333333"/>
          <w:sz w:val="20"/>
          <w:szCs w:val="20"/>
          <w:u w:val="single"/>
        </w:rPr>
        <w:t>Form ADV, Parts 1 and 2</w:t>
      </w:r>
    </w:p>
    <w:p w:rsidR="00353104" w:rsidRPr="00353104" w:rsidRDefault="00353104" w:rsidP="00353104">
      <w:pPr>
        <w:shd w:val="clear" w:color="auto" w:fill="FFFFF9"/>
        <w:spacing w:before="75" w:after="120" w:line="240" w:lineRule="atLeast"/>
        <w:rPr>
          <w:rFonts w:ascii="Verdana" w:eastAsia="Times New Roman" w:hAnsi="Verdana" w:cs="Times New Roman"/>
          <w:color w:val="333333"/>
          <w:sz w:val="17"/>
          <w:szCs w:val="17"/>
        </w:rPr>
      </w:pPr>
      <w:r w:rsidRPr="00353104">
        <w:rPr>
          <w:rFonts w:ascii="Verdana" w:eastAsia="Times New Roman" w:hAnsi="Verdana" w:cs="Times New Roman"/>
          <w:color w:val="333333"/>
          <w:sz w:val="17"/>
          <w:szCs w:val="17"/>
        </w:rPr>
        <w:t>To avoid the most common deficiencies, please follow these guidelines:</w:t>
      </w:r>
    </w:p>
    <w:p w:rsidR="00353104" w:rsidRPr="00353104" w:rsidRDefault="005A4066" w:rsidP="00353104">
      <w:pPr>
        <w:numPr>
          <w:ilvl w:val="0"/>
          <w:numId w:val="1"/>
        </w:numPr>
        <w:shd w:val="clear" w:color="auto" w:fill="FFFFF9"/>
        <w:spacing w:before="120" w:after="120" w:line="240" w:lineRule="auto"/>
        <w:ind w:left="0"/>
        <w:rPr>
          <w:rFonts w:ascii="Verdana" w:eastAsia="Times New Roman" w:hAnsi="Verdana" w:cs="Times New Roman"/>
          <w:color w:val="333333"/>
          <w:sz w:val="17"/>
          <w:szCs w:val="17"/>
        </w:rPr>
      </w:pPr>
      <w:r>
        <w:rPr>
          <w:rFonts w:ascii="Verdana" w:eastAsia="Times New Roman" w:hAnsi="Verdana" w:cs="Times New Roman"/>
          <w:color w:val="333333"/>
          <w:sz w:val="17"/>
          <w:szCs w:val="17"/>
        </w:rPr>
        <w:t>Ensure:</w:t>
      </w:r>
    </w:p>
    <w:p w:rsidR="00353104" w:rsidRPr="00353104" w:rsidRDefault="00353104" w:rsidP="00B6792E">
      <w:pPr>
        <w:numPr>
          <w:ilvl w:val="1"/>
          <w:numId w:val="2"/>
        </w:numPr>
        <w:shd w:val="clear" w:color="auto" w:fill="FFFFF9"/>
        <w:spacing w:before="120" w:after="120" w:line="240" w:lineRule="auto"/>
        <w:ind w:left="360"/>
        <w:rPr>
          <w:rFonts w:ascii="Verdana" w:eastAsia="Times New Roman" w:hAnsi="Verdana" w:cs="Times New Roman"/>
          <w:color w:val="333333"/>
          <w:sz w:val="17"/>
          <w:szCs w:val="17"/>
        </w:rPr>
      </w:pPr>
      <w:r w:rsidRPr="00353104">
        <w:rPr>
          <w:rFonts w:ascii="Verdana" w:eastAsia="Times New Roman" w:hAnsi="Verdana" w:cs="Times New Roman"/>
          <w:color w:val="333333"/>
          <w:sz w:val="17"/>
          <w:szCs w:val="17"/>
        </w:rPr>
        <w:t>The types of clients listed on Item 5.D of Part 1 match Item 7 of Part 2.A.</w:t>
      </w:r>
    </w:p>
    <w:p w:rsidR="00353104" w:rsidRPr="00353104" w:rsidRDefault="00353104" w:rsidP="00B6792E">
      <w:pPr>
        <w:numPr>
          <w:ilvl w:val="1"/>
          <w:numId w:val="2"/>
        </w:numPr>
        <w:shd w:val="clear" w:color="auto" w:fill="FFFFF9"/>
        <w:spacing w:before="120" w:after="120" w:line="240" w:lineRule="auto"/>
        <w:ind w:left="360"/>
        <w:rPr>
          <w:rFonts w:ascii="Verdana" w:eastAsia="Times New Roman" w:hAnsi="Verdana" w:cs="Times New Roman"/>
          <w:color w:val="333333"/>
          <w:sz w:val="17"/>
          <w:szCs w:val="17"/>
        </w:rPr>
      </w:pPr>
      <w:r w:rsidRPr="00353104">
        <w:rPr>
          <w:rFonts w:ascii="Verdana" w:eastAsia="Times New Roman" w:hAnsi="Verdana" w:cs="Times New Roman"/>
          <w:color w:val="333333"/>
          <w:sz w:val="17"/>
          <w:szCs w:val="17"/>
        </w:rPr>
        <w:t>The type of compensation listed on Item 5.E of Part 1 matches Item 5 of Part 2.A.</w:t>
      </w:r>
    </w:p>
    <w:p w:rsidR="00353104" w:rsidRPr="00353104" w:rsidRDefault="00353104" w:rsidP="00B6792E">
      <w:pPr>
        <w:numPr>
          <w:ilvl w:val="1"/>
          <w:numId w:val="2"/>
        </w:numPr>
        <w:shd w:val="clear" w:color="auto" w:fill="FFFFF9"/>
        <w:spacing w:before="120" w:after="120" w:line="240" w:lineRule="auto"/>
        <w:ind w:left="360"/>
        <w:rPr>
          <w:rFonts w:ascii="Verdana" w:eastAsia="Times New Roman" w:hAnsi="Verdana" w:cs="Times New Roman"/>
          <w:color w:val="333333"/>
          <w:sz w:val="17"/>
          <w:szCs w:val="17"/>
        </w:rPr>
      </w:pPr>
      <w:r w:rsidRPr="00353104">
        <w:rPr>
          <w:rFonts w:ascii="Verdana" w:eastAsia="Times New Roman" w:hAnsi="Verdana" w:cs="Times New Roman"/>
          <w:color w:val="333333"/>
          <w:sz w:val="17"/>
          <w:szCs w:val="17"/>
        </w:rPr>
        <w:t>The fee schedule listed in Item 5 of Part 2.A matches the fee schedule in th</w:t>
      </w:r>
      <w:r w:rsidR="00D9658B">
        <w:rPr>
          <w:rFonts w:ascii="Verdana" w:eastAsia="Times New Roman" w:hAnsi="Verdana" w:cs="Times New Roman"/>
          <w:color w:val="333333"/>
          <w:sz w:val="17"/>
          <w:szCs w:val="17"/>
        </w:rPr>
        <w:t xml:space="preserve">e investment advisory </w:t>
      </w:r>
      <w:r w:rsidR="005A4066">
        <w:rPr>
          <w:rFonts w:ascii="Verdana" w:eastAsia="Times New Roman" w:hAnsi="Verdana" w:cs="Times New Roman"/>
          <w:color w:val="333333"/>
          <w:sz w:val="17"/>
          <w:szCs w:val="17"/>
        </w:rPr>
        <w:t>contract.</w:t>
      </w:r>
    </w:p>
    <w:p w:rsidR="00353104" w:rsidRPr="00353104" w:rsidRDefault="008E2F0D" w:rsidP="00B6792E">
      <w:pPr>
        <w:numPr>
          <w:ilvl w:val="1"/>
          <w:numId w:val="2"/>
        </w:numPr>
        <w:shd w:val="clear" w:color="auto" w:fill="FFFFF9"/>
        <w:spacing w:before="120" w:after="120" w:line="240" w:lineRule="auto"/>
        <w:ind w:left="360"/>
        <w:rPr>
          <w:rFonts w:ascii="Verdana" w:eastAsia="Times New Roman" w:hAnsi="Verdana" w:cs="Times New Roman"/>
          <w:color w:val="333333"/>
          <w:sz w:val="17"/>
          <w:szCs w:val="17"/>
        </w:rPr>
      </w:pPr>
      <w:r>
        <w:rPr>
          <w:rFonts w:ascii="Verdana" w:eastAsia="Times New Roman" w:hAnsi="Verdana" w:cs="Times New Roman"/>
          <w:color w:val="333333"/>
          <w:sz w:val="17"/>
          <w:szCs w:val="17"/>
        </w:rPr>
        <w:t>How often fees are billed or deducted as disclosed</w:t>
      </w:r>
      <w:r w:rsidR="00353104" w:rsidRPr="00353104">
        <w:rPr>
          <w:rFonts w:ascii="Verdana" w:eastAsia="Times New Roman" w:hAnsi="Verdana" w:cs="Times New Roman"/>
          <w:color w:val="333333"/>
          <w:sz w:val="17"/>
          <w:szCs w:val="17"/>
        </w:rPr>
        <w:t xml:space="preserve"> in Item 5 of Part 2</w:t>
      </w:r>
      <w:r>
        <w:rPr>
          <w:rFonts w:ascii="Verdana" w:eastAsia="Times New Roman" w:hAnsi="Verdana" w:cs="Times New Roman"/>
          <w:color w:val="333333"/>
          <w:sz w:val="17"/>
          <w:szCs w:val="17"/>
        </w:rPr>
        <w:t>.A.</w:t>
      </w:r>
      <w:r w:rsidR="00353104" w:rsidRPr="00353104">
        <w:rPr>
          <w:rFonts w:ascii="Verdana" w:eastAsia="Times New Roman" w:hAnsi="Verdana" w:cs="Times New Roman"/>
          <w:color w:val="333333"/>
          <w:sz w:val="17"/>
          <w:szCs w:val="17"/>
        </w:rPr>
        <w:t xml:space="preserve"> matches th</w:t>
      </w:r>
      <w:r w:rsidR="00D9658B">
        <w:rPr>
          <w:rFonts w:ascii="Verdana" w:eastAsia="Times New Roman" w:hAnsi="Verdana" w:cs="Times New Roman"/>
          <w:color w:val="333333"/>
          <w:sz w:val="17"/>
          <w:szCs w:val="17"/>
        </w:rPr>
        <w:t xml:space="preserve">e investment advisory </w:t>
      </w:r>
      <w:r w:rsidR="001F6324">
        <w:rPr>
          <w:rFonts w:ascii="Verdana" w:eastAsia="Times New Roman" w:hAnsi="Verdana" w:cs="Times New Roman"/>
          <w:color w:val="333333"/>
          <w:sz w:val="17"/>
          <w:szCs w:val="17"/>
        </w:rPr>
        <w:t>contract.</w:t>
      </w:r>
    </w:p>
    <w:p w:rsidR="00353104" w:rsidRPr="00353104" w:rsidRDefault="00353104" w:rsidP="00B6792E">
      <w:pPr>
        <w:numPr>
          <w:ilvl w:val="1"/>
          <w:numId w:val="2"/>
        </w:numPr>
        <w:shd w:val="clear" w:color="auto" w:fill="FFFFF9"/>
        <w:spacing w:before="120" w:after="120" w:line="240" w:lineRule="auto"/>
        <w:ind w:left="360"/>
        <w:rPr>
          <w:rFonts w:ascii="Verdana" w:eastAsia="Times New Roman" w:hAnsi="Verdana" w:cs="Times New Roman"/>
          <w:color w:val="333333"/>
          <w:sz w:val="17"/>
          <w:szCs w:val="17"/>
        </w:rPr>
      </w:pPr>
      <w:r w:rsidRPr="00353104">
        <w:rPr>
          <w:rFonts w:ascii="Verdana" w:eastAsia="Times New Roman" w:hAnsi="Verdana" w:cs="Times New Roman"/>
          <w:color w:val="333333"/>
          <w:sz w:val="17"/>
          <w:szCs w:val="17"/>
        </w:rPr>
        <w:t>Services marked in Item 5.G of Part 1 match the services d</w:t>
      </w:r>
      <w:r w:rsidR="005A4066">
        <w:rPr>
          <w:rFonts w:ascii="Verdana" w:eastAsia="Times New Roman" w:hAnsi="Verdana" w:cs="Times New Roman"/>
          <w:color w:val="333333"/>
          <w:sz w:val="17"/>
          <w:szCs w:val="17"/>
        </w:rPr>
        <w:t>escribed in Item 4 of Part 2.A.</w:t>
      </w:r>
    </w:p>
    <w:p w:rsidR="00353104" w:rsidRPr="00353104" w:rsidRDefault="00353104" w:rsidP="00B6792E">
      <w:pPr>
        <w:numPr>
          <w:ilvl w:val="1"/>
          <w:numId w:val="2"/>
        </w:numPr>
        <w:shd w:val="clear" w:color="auto" w:fill="FFFFF9"/>
        <w:spacing w:before="120" w:after="120" w:line="240" w:lineRule="auto"/>
        <w:ind w:left="360"/>
        <w:rPr>
          <w:rFonts w:ascii="Verdana" w:eastAsia="Times New Roman" w:hAnsi="Verdana" w:cs="Times New Roman"/>
          <w:color w:val="333333"/>
          <w:sz w:val="17"/>
          <w:szCs w:val="17"/>
        </w:rPr>
      </w:pPr>
      <w:r w:rsidRPr="00353104">
        <w:rPr>
          <w:rFonts w:ascii="Verdana" w:eastAsia="Times New Roman" w:hAnsi="Verdana" w:cs="Times New Roman"/>
          <w:color w:val="333333"/>
          <w:sz w:val="17"/>
          <w:szCs w:val="17"/>
        </w:rPr>
        <w:t xml:space="preserve">Discretionary authority marked in Item 8.C of Part 1 matches the discretionary authority described in Item 16 of Part 2.A. </w:t>
      </w:r>
      <w:r w:rsidR="00D03B53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r w:rsidRPr="00353104">
        <w:rPr>
          <w:rFonts w:ascii="Verdana" w:eastAsia="Times New Roman" w:hAnsi="Verdana" w:cs="Times New Roman"/>
          <w:color w:val="333333"/>
          <w:sz w:val="17"/>
          <w:szCs w:val="17"/>
        </w:rPr>
        <w:t>Additionally, you must discuss the restrictions or limit</w:t>
      </w:r>
      <w:r w:rsidR="005A4066">
        <w:rPr>
          <w:rFonts w:ascii="Verdana" w:eastAsia="Times New Roman" w:hAnsi="Verdana" w:cs="Times New Roman"/>
          <w:color w:val="333333"/>
          <w:sz w:val="17"/>
          <w:szCs w:val="17"/>
        </w:rPr>
        <w:t>ations imposed by your clients.</w:t>
      </w:r>
    </w:p>
    <w:p w:rsidR="00353104" w:rsidRPr="00353104" w:rsidRDefault="00353104" w:rsidP="00353104">
      <w:pPr>
        <w:numPr>
          <w:ilvl w:val="0"/>
          <w:numId w:val="2"/>
        </w:numPr>
        <w:shd w:val="clear" w:color="auto" w:fill="FFFFF9"/>
        <w:spacing w:before="120" w:after="120" w:line="240" w:lineRule="auto"/>
        <w:ind w:left="0"/>
        <w:rPr>
          <w:rFonts w:ascii="Verdana" w:eastAsia="Times New Roman" w:hAnsi="Verdana" w:cs="Times New Roman"/>
          <w:color w:val="333333"/>
          <w:sz w:val="17"/>
          <w:szCs w:val="17"/>
        </w:rPr>
      </w:pPr>
      <w:r w:rsidRPr="00353104">
        <w:rPr>
          <w:rFonts w:ascii="Verdana" w:eastAsia="Times New Roman" w:hAnsi="Verdana" w:cs="Times New Roman"/>
          <w:color w:val="333333"/>
          <w:sz w:val="17"/>
          <w:szCs w:val="17"/>
        </w:rPr>
        <w:t>If you list other business in Item 6 of Part 1, discuss the other business in Item</w:t>
      </w:r>
      <w:bookmarkStart w:id="0" w:name="_GoBack"/>
      <w:bookmarkEnd w:id="0"/>
      <w:r w:rsidRPr="00353104">
        <w:rPr>
          <w:rFonts w:ascii="Verdana" w:eastAsia="Times New Roman" w:hAnsi="Verdana" w:cs="Times New Roman"/>
          <w:color w:val="333333"/>
          <w:sz w:val="17"/>
          <w:szCs w:val="17"/>
        </w:rPr>
        <w:t xml:space="preserve"> 10 of Part 2.A.</w:t>
      </w:r>
    </w:p>
    <w:p w:rsidR="00353104" w:rsidRPr="00353104" w:rsidRDefault="000F63E9" w:rsidP="00353104">
      <w:pPr>
        <w:numPr>
          <w:ilvl w:val="0"/>
          <w:numId w:val="2"/>
        </w:numPr>
        <w:shd w:val="clear" w:color="auto" w:fill="FFFFF9"/>
        <w:spacing w:before="120" w:after="120" w:line="240" w:lineRule="auto"/>
        <w:ind w:left="0"/>
        <w:rPr>
          <w:rFonts w:ascii="Verdana" w:eastAsia="Times New Roman" w:hAnsi="Verdana" w:cs="Times New Roman"/>
          <w:color w:val="333333"/>
          <w:sz w:val="17"/>
          <w:szCs w:val="17"/>
        </w:rPr>
      </w:pPr>
      <w:r>
        <w:rPr>
          <w:rFonts w:ascii="Verdana" w:eastAsia="Times New Roman" w:hAnsi="Verdana" w:cs="Times New Roman"/>
          <w:color w:val="333333"/>
          <w:sz w:val="17"/>
          <w:szCs w:val="17"/>
        </w:rPr>
        <w:t>In P</w:t>
      </w:r>
      <w:r w:rsidR="00353104" w:rsidRPr="00353104">
        <w:rPr>
          <w:rFonts w:ascii="Verdana" w:eastAsia="Times New Roman" w:hAnsi="Verdana" w:cs="Times New Roman"/>
          <w:color w:val="333333"/>
          <w:sz w:val="17"/>
          <w:szCs w:val="17"/>
        </w:rPr>
        <w:t xml:space="preserve">art 2, do not state that </w:t>
      </w:r>
      <w:r>
        <w:rPr>
          <w:rFonts w:ascii="Verdana" w:eastAsia="Times New Roman" w:hAnsi="Verdana" w:cs="Times New Roman"/>
          <w:color w:val="333333"/>
          <w:sz w:val="17"/>
          <w:szCs w:val="17"/>
        </w:rPr>
        <w:t xml:space="preserve">the Department of Finance has made a finding as to the accuracy of materials filed with the Department.  </w:t>
      </w:r>
      <w:r w:rsidRPr="00353104">
        <w:rPr>
          <w:rFonts w:ascii="Verdana" w:eastAsia="Times New Roman" w:hAnsi="Verdana" w:cs="Times New Roman"/>
          <w:color w:val="333333"/>
          <w:sz w:val="17"/>
          <w:szCs w:val="17"/>
        </w:rPr>
        <w:t xml:space="preserve">See </w:t>
      </w:r>
      <w:hyperlink r:id="rId8" w:tgtFrame="_blank" w:history="1">
        <w:r>
          <w:rPr>
            <w:rFonts w:ascii="Verdana" w:eastAsia="Times New Roman" w:hAnsi="Verdana" w:cs="Times New Roman"/>
            <w:color w:val="0000FF"/>
            <w:sz w:val="17"/>
            <w:szCs w:val="17"/>
            <w:u w:val="single"/>
          </w:rPr>
          <w:t xml:space="preserve">Section 30-14-506 </w:t>
        </w:r>
        <w:r>
          <w:rPr>
            <w:rFonts w:ascii="Verdana" w:eastAsia="Times New Roman" w:hAnsi="Verdana" w:cs="Times New Roman"/>
            <w:color w:val="0000FF"/>
            <w:sz w:val="17"/>
            <w:szCs w:val="17"/>
            <w:u w:val="single"/>
          </w:rPr>
          <w:t>o</w:t>
        </w:r>
        <w:r>
          <w:rPr>
            <w:rFonts w:ascii="Verdana" w:eastAsia="Times New Roman" w:hAnsi="Verdana" w:cs="Times New Roman"/>
            <w:color w:val="0000FF"/>
            <w:sz w:val="17"/>
            <w:szCs w:val="17"/>
            <w:u w:val="single"/>
          </w:rPr>
          <w:t xml:space="preserve">f </w:t>
        </w:r>
        <w:r>
          <w:rPr>
            <w:rFonts w:ascii="Verdana" w:eastAsia="Times New Roman" w:hAnsi="Verdana" w:cs="Times New Roman"/>
            <w:color w:val="0000FF"/>
            <w:sz w:val="17"/>
            <w:szCs w:val="17"/>
            <w:u w:val="single"/>
          </w:rPr>
          <w:t>t</w:t>
        </w:r>
        <w:r>
          <w:rPr>
            <w:rFonts w:ascii="Verdana" w:eastAsia="Times New Roman" w:hAnsi="Verdana" w:cs="Times New Roman"/>
            <w:color w:val="0000FF"/>
            <w:sz w:val="17"/>
            <w:szCs w:val="17"/>
            <w:u w:val="single"/>
          </w:rPr>
          <w:t>he Idaho Uniform Securities</w:t>
        </w:r>
        <w:r w:rsidRPr="00353104">
          <w:rPr>
            <w:rFonts w:ascii="Verdana" w:eastAsia="Times New Roman" w:hAnsi="Verdana" w:cs="Times New Roman"/>
            <w:color w:val="0000FF"/>
            <w:sz w:val="17"/>
            <w:szCs w:val="17"/>
            <w:u w:val="single"/>
          </w:rPr>
          <w:t xml:space="preserve"> Act.</w:t>
        </w:r>
      </w:hyperlink>
    </w:p>
    <w:p w:rsidR="00353104" w:rsidRPr="00353104" w:rsidRDefault="00353104" w:rsidP="00353104">
      <w:pPr>
        <w:numPr>
          <w:ilvl w:val="0"/>
          <w:numId w:val="2"/>
        </w:numPr>
        <w:shd w:val="clear" w:color="auto" w:fill="FFFFF9"/>
        <w:spacing w:before="120" w:after="120" w:line="240" w:lineRule="auto"/>
        <w:ind w:left="0"/>
        <w:rPr>
          <w:rFonts w:ascii="Verdana" w:eastAsia="Times New Roman" w:hAnsi="Verdana" w:cs="Times New Roman"/>
          <w:color w:val="333333"/>
          <w:sz w:val="17"/>
          <w:szCs w:val="17"/>
        </w:rPr>
      </w:pPr>
      <w:r w:rsidRPr="00353104">
        <w:rPr>
          <w:rFonts w:ascii="Verdana" w:eastAsia="Times New Roman" w:hAnsi="Verdana" w:cs="Times New Roman"/>
          <w:color w:val="333333"/>
          <w:sz w:val="17"/>
          <w:szCs w:val="17"/>
        </w:rPr>
        <w:t>Update references in t</w:t>
      </w:r>
      <w:r w:rsidR="00D9658B">
        <w:rPr>
          <w:rFonts w:ascii="Verdana" w:eastAsia="Times New Roman" w:hAnsi="Verdana" w:cs="Times New Roman"/>
          <w:color w:val="333333"/>
          <w:sz w:val="17"/>
          <w:szCs w:val="17"/>
        </w:rPr>
        <w:t>he investment advisory contract</w:t>
      </w:r>
      <w:r w:rsidRPr="00353104">
        <w:rPr>
          <w:rFonts w:ascii="Verdana" w:eastAsia="Times New Roman" w:hAnsi="Verdana" w:cs="Times New Roman"/>
          <w:color w:val="333333"/>
          <w:sz w:val="17"/>
          <w:szCs w:val="17"/>
        </w:rPr>
        <w:t xml:space="preserve"> from the "ADV Part II" to the newly adopted "ADV Part 2."</w:t>
      </w:r>
    </w:p>
    <w:p w:rsidR="00353104" w:rsidRPr="00353104" w:rsidRDefault="00873EE7" w:rsidP="00F52F81">
      <w:pPr>
        <w:shd w:val="clear" w:color="auto" w:fill="FFFFF9"/>
        <w:spacing w:before="100" w:beforeAutospacing="1" w:after="100" w:afterAutospacing="1" w:line="240" w:lineRule="auto"/>
        <w:jc w:val="center"/>
        <w:outlineLvl w:val="1"/>
        <w:rPr>
          <w:rFonts w:ascii="Verdana" w:eastAsia="Times New Roman" w:hAnsi="Verdana" w:cs="Times New Roman"/>
          <w:b/>
          <w:bCs/>
          <w:color w:val="333333"/>
          <w:sz w:val="20"/>
          <w:szCs w:val="20"/>
          <w:u w:val="single"/>
        </w:rPr>
      </w:pPr>
      <w:r>
        <w:rPr>
          <w:rFonts w:ascii="Verdana" w:eastAsia="Times New Roman" w:hAnsi="Verdana" w:cs="Times New Roman"/>
          <w:b/>
          <w:bCs/>
          <w:color w:val="333333"/>
          <w:sz w:val="20"/>
          <w:szCs w:val="20"/>
          <w:u w:val="single"/>
        </w:rPr>
        <w:t>Client Contracts</w:t>
      </w:r>
    </w:p>
    <w:p w:rsidR="004178EF" w:rsidRDefault="00873EE7" w:rsidP="00F52F81">
      <w:pPr>
        <w:shd w:val="clear" w:color="auto" w:fill="FFFFF9"/>
        <w:spacing w:before="75" w:after="120" w:line="240" w:lineRule="atLeast"/>
        <w:jc w:val="both"/>
        <w:rPr>
          <w:rFonts w:ascii="Verdana" w:eastAsia="Times New Roman" w:hAnsi="Verdana" w:cs="Times New Roman"/>
          <w:color w:val="333333"/>
          <w:sz w:val="17"/>
          <w:szCs w:val="17"/>
        </w:rPr>
      </w:pPr>
      <w:r>
        <w:rPr>
          <w:rFonts w:ascii="Verdana" w:eastAsia="Times New Roman" w:hAnsi="Verdana" w:cs="Times New Roman"/>
          <w:color w:val="333333"/>
          <w:sz w:val="17"/>
          <w:szCs w:val="17"/>
        </w:rPr>
        <w:t>In addition, the Analysts</w:t>
      </w:r>
      <w:r w:rsidR="00353104" w:rsidRPr="00353104">
        <w:rPr>
          <w:rFonts w:ascii="Verdana" w:eastAsia="Times New Roman" w:hAnsi="Verdana" w:cs="Times New Roman"/>
          <w:color w:val="333333"/>
          <w:sz w:val="17"/>
          <w:szCs w:val="17"/>
        </w:rPr>
        <w:t xml:space="preserve"> also review and comment on the applicant</w:t>
      </w:r>
      <w:r w:rsidR="00D9658B">
        <w:rPr>
          <w:rFonts w:ascii="Verdana" w:eastAsia="Times New Roman" w:hAnsi="Verdana" w:cs="Times New Roman"/>
          <w:color w:val="333333"/>
          <w:sz w:val="17"/>
          <w:szCs w:val="17"/>
        </w:rPr>
        <w:t>'s investment advisory contracts</w:t>
      </w:r>
      <w:r w:rsidR="00353104" w:rsidRPr="00353104">
        <w:rPr>
          <w:rFonts w:ascii="Verdana" w:eastAsia="Times New Roman" w:hAnsi="Verdana" w:cs="Times New Roman"/>
          <w:color w:val="333333"/>
          <w:sz w:val="17"/>
          <w:szCs w:val="17"/>
        </w:rPr>
        <w:t xml:space="preserve">(s). </w:t>
      </w:r>
      <w:r w:rsidR="000F63E9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r w:rsidR="000F63E9" w:rsidRPr="008C772C">
        <w:rPr>
          <w:rFonts w:ascii="Verdana" w:eastAsia="Times New Roman" w:hAnsi="Verdana" w:cs="Times New Roman"/>
          <w:color w:val="0000FF"/>
          <w:sz w:val="17"/>
          <w:szCs w:val="17"/>
          <w:u w:val="single"/>
        </w:rPr>
        <w:t>Please refe</w:t>
      </w:r>
      <w:r w:rsidR="004178EF">
        <w:rPr>
          <w:rFonts w:ascii="Verdana" w:eastAsia="Times New Roman" w:hAnsi="Verdana" w:cs="Times New Roman"/>
          <w:color w:val="0000FF"/>
          <w:sz w:val="17"/>
          <w:szCs w:val="17"/>
          <w:u w:val="single"/>
        </w:rPr>
        <w:t>r to Rule 94</w:t>
      </w:r>
      <w:r w:rsidR="008E2F0D">
        <w:rPr>
          <w:rFonts w:ascii="Verdana" w:eastAsia="Times New Roman" w:hAnsi="Verdana" w:cs="Times New Roman"/>
          <w:color w:val="0000FF"/>
          <w:sz w:val="17"/>
          <w:szCs w:val="17"/>
          <w:u w:val="single"/>
        </w:rPr>
        <w:t xml:space="preserve"> and Rule 104.43</w:t>
      </w:r>
      <w:r w:rsidR="004178EF">
        <w:rPr>
          <w:rFonts w:ascii="Verdana" w:eastAsia="Times New Roman" w:hAnsi="Verdana" w:cs="Times New Roman"/>
          <w:color w:val="0000FF"/>
          <w:sz w:val="17"/>
          <w:szCs w:val="17"/>
          <w:u w:val="single"/>
        </w:rPr>
        <w:t xml:space="preserve"> of the Rules Pursuant</w:t>
      </w:r>
      <w:r w:rsidR="000F63E9" w:rsidRPr="008C772C">
        <w:rPr>
          <w:rFonts w:ascii="Verdana" w:eastAsia="Times New Roman" w:hAnsi="Verdana" w:cs="Times New Roman"/>
          <w:color w:val="0000FF"/>
          <w:sz w:val="17"/>
          <w:szCs w:val="17"/>
          <w:u w:val="single"/>
        </w:rPr>
        <w:t xml:space="preserve"> to the Idaho Uniform Securities Act for requirements pertaining to client contracts</w:t>
      </w:r>
      <w:r w:rsidR="005A4066">
        <w:rPr>
          <w:rFonts w:ascii="Verdana" w:eastAsia="Times New Roman" w:hAnsi="Verdana" w:cs="Times New Roman"/>
          <w:color w:val="333333"/>
          <w:sz w:val="17"/>
          <w:szCs w:val="17"/>
        </w:rPr>
        <w:t>.</w:t>
      </w:r>
    </w:p>
    <w:p w:rsidR="00353104" w:rsidRPr="00353104" w:rsidRDefault="00353104" w:rsidP="00353104">
      <w:pPr>
        <w:shd w:val="clear" w:color="auto" w:fill="FFFFF9"/>
        <w:spacing w:before="75" w:after="120" w:line="240" w:lineRule="atLeast"/>
        <w:rPr>
          <w:rFonts w:ascii="Verdana" w:eastAsia="Times New Roman" w:hAnsi="Verdana" w:cs="Times New Roman"/>
          <w:color w:val="333333"/>
          <w:sz w:val="17"/>
          <w:szCs w:val="17"/>
        </w:rPr>
      </w:pPr>
      <w:r w:rsidRPr="00353104">
        <w:rPr>
          <w:rFonts w:ascii="Verdana" w:eastAsia="Times New Roman" w:hAnsi="Verdana" w:cs="Times New Roman"/>
          <w:color w:val="333333"/>
          <w:sz w:val="17"/>
          <w:szCs w:val="17"/>
        </w:rPr>
        <w:t>To avoid deficiencies, please follow these guidelines:</w:t>
      </w:r>
    </w:p>
    <w:p w:rsidR="00353104" w:rsidRPr="00353104" w:rsidRDefault="00353104" w:rsidP="00F52F81">
      <w:pPr>
        <w:numPr>
          <w:ilvl w:val="0"/>
          <w:numId w:val="3"/>
        </w:numPr>
        <w:shd w:val="clear" w:color="auto" w:fill="FFFFF9"/>
        <w:spacing w:before="120" w:after="120" w:line="240" w:lineRule="auto"/>
        <w:ind w:left="0"/>
        <w:jc w:val="both"/>
        <w:rPr>
          <w:rFonts w:ascii="Verdana" w:eastAsia="Times New Roman" w:hAnsi="Verdana" w:cs="Times New Roman"/>
          <w:color w:val="333333"/>
          <w:sz w:val="17"/>
          <w:szCs w:val="17"/>
        </w:rPr>
      </w:pPr>
      <w:r w:rsidRPr="00353104">
        <w:rPr>
          <w:rFonts w:ascii="Verdana" w:eastAsia="Times New Roman" w:hAnsi="Verdana" w:cs="Times New Roman"/>
          <w:color w:val="333333"/>
          <w:sz w:val="17"/>
          <w:szCs w:val="17"/>
        </w:rPr>
        <w:t>The following items shou</w:t>
      </w:r>
      <w:r w:rsidR="00D9658B">
        <w:rPr>
          <w:rFonts w:ascii="Verdana" w:eastAsia="Times New Roman" w:hAnsi="Verdana" w:cs="Times New Roman"/>
          <w:color w:val="333333"/>
          <w:sz w:val="17"/>
          <w:szCs w:val="17"/>
        </w:rPr>
        <w:t>ld be discussed in the contract</w:t>
      </w:r>
      <w:r w:rsidRPr="00353104">
        <w:rPr>
          <w:rFonts w:ascii="Verdana" w:eastAsia="Times New Roman" w:hAnsi="Verdana" w:cs="Times New Roman"/>
          <w:color w:val="333333"/>
          <w:sz w:val="17"/>
          <w:szCs w:val="17"/>
        </w:rPr>
        <w:t xml:space="preserve"> and should be consistent with the information found in Fo</w:t>
      </w:r>
      <w:r w:rsidR="005A4066">
        <w:rPr>
          <w:rFonts w:ascii="Verdana" w:eastAsia="Times New Roman" w:hAnsi="Verdana" w:cs="Times New Roman"/>
          <w:color w:val="333333"/>
          <w:sz w:val="17"/>
          <w:szCs w:val="17"/>
        </w:rPr>
        <w:t>rm ADV Parts 1 and 2:</w:t>
      </w:r>
    </w:p>
    <w:p w:rsidR="00353104" w:rsidRPr="00353104" w:rsidRDefault="00353104" w:rsidP="002E02BA">
      <w:pPr>
        <w:numPr>
          <w:ilvl w:val="1"/>
          <w:numId w:val="4"/>
        </w:numPr>
        <w:shd w:val="clear" w:color="auto" w:fill="FFFFF9"/>
        <w:spacing w:before="120" w:after="120" w:line="240" w:lineRule="auto"/>
        <w:ind w:left="360"/>
        <w:rPr>
          <w:rFonts w:ascii="Verdana" w:eastAsia="Times New Roman" w:hAnsi="Verdana" w:cs="Times New Roman"/>
          <w:color w:val="333333"/>
          <w:sz w:val="17"/>
          <w:szCs w:val="17"/>
        </w:rPr>
      </w:pPr>
      <w:r w:rsidRPr="00353104">
        <w:rPr>
          <w:rFonts w:ascii="Verdana" w:eastAsia="Times New Roman" w:hAnsi="Verdana" w:cs="Times New Roman"/>
          <w:color w:val="333333"/>
          <w:sz w:val="17"/>
          <w:szCs w:val="17"/>
        </w:rPr>
        <w:t>A description of services</w:t>
      </w:r>
      <w:r w:rsidR="005A4066">
        <w:rPr>
          <w:rFonts w:ascii="Verdana" w:eastAsia="Times New Roman" w:hAnsi="Verdana" w:cs="Times New Roman"/>
          <w:color w:val="333333"/>
          <w:sz w:val="17"/>
          <w:szCs w:val="17"/>
        </w:rPr>
        <w:t xml:space="preserve"> to be rendered by the adviser;</w:t>
      </w:r>
    </w:p>
    <w:p w:rsidR="00353104" w:rsidRPr="00353104" w:rsidRDefault="002824ED" w:rsidP="002E02BA">
      <w:pPr>
        <w:numPr>
          <w:ilvl w:val="1"/>
          <w:numId w:val="4"/>
        </w:numPr>
        <w:shd w:val="clear" w:color="auto" w:fill="FFFFF9"/>
        <w:spacing w:before="120" w:after="120" w:line="240" w:lineRule="auto"/>
        <w:ind w:left="360"/>
        <w:rPr>
          <w:rFonts w:ascii="Verdana" w:eastAsia="Times New Roman" w:hAnsi="Verdana" w:cs="Times New Roman"/>
          <w:color w:val="333333"/>
          <w:sz w:val="17"/>
          <w:szCs w:val="17"/>
        </w:rPr>
      </w:pPr>
      <w:r>
        <w:rPr>
          <w:rFonts w:ascii="Verdana" w:eastAsia="Times New Roman" w:hAnsi="Verdana" w:cs="Times New Roman"/>
          <w:color w:val="333333"/>
          <w:sz w:val="17"/>
          <w:szCs w:val="17"/>
        </w:rPr>
        <w:lastRenderedPageBreak/>
        <w:t>A</w:t>
      </w:r>
      <w:r w:rsidR="00353104" w:rsidRPr="00353104">
        <w:rPr>
          <w:rFonts w:ascii="Verdana" w:eastAsia="Times New Roman" w:hAnsi="Verdana" w:cs="Times New Roman"/>
          <w:color w:val="333333"/>
          <w:sz w:val="17"/>
          <w:szCs w:val="17"/>
        </w:rPr>
        <w:t xml:space="preserve"> fee schedule;</w:t>
      </w:r>
    </w:p>
    <w:p w:rsidR="00353104" w:rsidRPr="00353104" w:rsidRDefault="002824ED" w:rsidP="002E02BA">
      <w:pPr>
        <w:numPr>
          <w:ilvl w:val="1"/>
          <w:numId w:val="4"/>
        </w:numPr>
        <w:shd w:val="clear" w:color="auto" w:fill="FFFFF9"/>
        <w:spacing w:before="120" w:after="120" w:line="240" w:lineRule="auto"/>
        <w:ind w:left="360"/>
        <w:rPr>
          <w:rFonts w:ascii="Verdana" w:eastAsia="Times New Roman" w:hAnsi="Verdana" w:cs="Times New Roman"/>
          <w:color w:val="333333"/>
          <w:sz w:val="17"/>
          <w:szCs w:val="17"/>
        </w:rPr>
      </w:pPr>
      <w:r>
        <w:rPr>
          <w:rFonts w:ascii="Verdana" w:eastAsia="Times New Roman" w:hAnsi="Verdana" w:cs="Times New Roman"/>
          <w:color w:val="333333"/>
          <w:sz w:val="17"/>
          <w:szCs w:val="17"/>
        </w:rPr>
        <w:t>W</w:t>
      </w:r>
      <w:r w:rsidR="00353104" w:rsidRPr="00353104">
        <w:rPr>
          <w:rFonts w:ascii="Verdana" w:eastAsia="Times New Roman" w:hAnsi="Verdana" w:cs="Times New Roman"/>
          <w:color w:val="333333"/>
          <w:sz w:val="17"/>
          <w:szCs w:val="17"/>
        </w:rPr>
        <w:t>hether fees are ch</w:t>
      </w:r>
      <w:r w:rsidR="005A4066">
        <w:rPr>
          <w:rFonts w:ascii="Verdana" w:eastAsia="Times New Roman" w:hAnsi="Verdana" w:cs="Times New Roman"/>
          <w:color w:val="333333"/>
          <w:sz w:val="17"/>
          <w:szCs w:val="17"/>
        </w:rPr>
        <w:t>arged in advance or in arrears;</w:t>
      </w:r>
    </w:p>
    <w:p w:rsidR="00353104" w:rsidRPr="00353104" w:rsidRDefault="002824ED" w:rsidP="002E02BA">
      <w:pPr>
        <w:numPr>
          <w:ilvl w:val="1"/>
          <w:numId w:val="4"/>
        </w:numPr>
        <w:shd w:val="clear" w:color="auto" w:fill="FFFFF9"/>
        <w:spacing w:before="120" w:after="120" w:line="240" w:lineRule="auto"/>
        <w:ind w:left="360"/>
        <w:rPr>
          <w:rFonts w:ascii="Verdana" w:eastAsia="Times New Roman" w:hAnsi="Verdana" w:cs="Times New Roman"/>
          <w:color w:val="333333"/>
          <w:sz w:val="17"/>
          <w:szCs w:val="17"/>
        </w:rPr>
      </w:pPr>
      <w:r>
        <w:rPr>
          <w:rFonts w:ascii="Verdana" w:eastAsia="Times New Roman" w:hAnsi="Verdana" w:cs="Times New Roman"/>
          <w:color w:val="333333"/>
          <w:sz w:val="17"/>
          <w:szCs w:val="17"/>
        </w:rPr>
        <w:t>H</w:t>
      </w:r>
      <w:r w:rsidR="005A4066">
        <w:rPr>
          <w:rFonts w:ascii="Verdana" w:eastAsia="Times New Roman" w:hAnsi="Verdana" w:cs="Times New Roman"/>
          <w:color w:val="333333"/>
          <w:sz w:val="17"/>
          <w:szCs w:val="17"/>
        </w:rPr>
        <w:t>ow often fees are paid;</w:t>
      </w:r>
    </w:p>
    <w:p w:rsidR="00353104" w:rsidRPr="00353104" w:rsidRDefault="002824ED" w:rsidP="002E02BA">
      <w:pPr>
        <w:numPr>
          <w:ilvl w:val="1"/>
          <w:numId w:val="4"/>
        </w:numPr>
        <w:shd w:val="clear" w:color="auto" w:fill="FFFFF9"/>
        <w:spacing w:before="120" w:after="120" w:line="240" w:lineRule="auto"/>
        <w:ind w:left="360"/>
        <w:rPr>
          <w:rFonts w:ascii="Verdana" w:eastAsia="Times New Roman" w:hAnsi="Verdana" w:cs="Times New Roman"/>
          <w:color w:val="333333"/>
          <w:sz w:val="17"/>
          <w:szCs w:val="17"/>
        </w:rPr>
      </w:pPr>
      <w:r>
        <w:rPr>
          <w:rFonts w:ascii="Verdana" w:eastAsia="Times New Roman" w:hAnsi="Verdana" w:cs="Times New Roman"/>
          <w:color w:val="333333"/>
          <w:sz w:val="17"/>
          <w:szCs w:val="17"/>
        </w:rPr>
        <w:t>W</w:t>
      </w:r>
      <w:r w:rsidR="00353104" w:rsidRPr="00353104">
        <w:rPr>
          <w:rFonts w:ascii="Verdana" w:eastAsia="Times New Roman" w:hAnsi="Verdana" w:cs="Times New Roman"/>
          <w:color w:val="333333"/>
          <w:sz w:val="17"/>
          <w:szCs w:val="17"/>
        </w:rPr>
        <w:t>hether fees are negotiable;</w:t>
      </w:r>
    </w:p>
    <w:p w:rsidR="00353104" w:rsidRPr="00353104" w:rsidRDefault="002824ED" w:rsidP="002E02BA">
      <w:pPr>
        <w:numPr>
          <w:ilvl w:val="1"/>
          <w:numId w:val="4"/>
        </w:numPr>
        <w:shd w:val="clear" w:color="auto" w:fill="FFFFF9"/>
        <w:spacing w:before="120" w:after="120" w:line="240" w:lineRule="auto"/>
        <w:ind w:left="360"/>
        <w:rPr>
          <w:rFonts w:ascii="Verdana" w:eastAsia="Times New Roman" w:hAnsi="Verdana" w:cs="Times New Roman"/>
          <w:color w:val="333333"/>
          <w:sz w:val="17"/>
          <w:szCs w:val="17"/>
        </w:rPr>
      </w:pPr>
      <w:r>
        <w:rPr>
          <w:rFonts w:ascii="Verdana" w:eastAsia="Times New Roman" w:hAnsi="Verdana" w:cs="Times New Roman"/>
          <w:color w:val="333333"/>
          <w:sz w:val="17"/>
          <w:szCs w:val="17"/>
        </w:rPr>
        <w:t>W</w:t>
      </w:r>
      <w:r w:rsidR="00353104" w:rsidRPr="00353104">
        <w:rPr>
          <w:rFonts w:ascii="Verdana" w:eastAsia="Times New Roman" w:hAnsi="Verdana" w:cs="Times New Roman"/>
          <w:color w:val="333333"/>
          <w:sz w:val="17"/>
          <w:szCs w:val="17"/>
        </w:rPr>
        <w:t>hether fees are withdrawn from the client's account;</w:t>
      </w:r>
    </w:p>
    <w:p w:rsidR="00353104" w:rsidRPr="00353104" w:rsidRDefault="002824ED" w:rsidP="002E02BA">
      <w:pPr>
        <w:numPr>
          <w:ilvl w:val="1"/>
          <w:numId w:val="4"/>
        </w:numPr>
        <w:shd w:val="clear" w:color="auto" w:fill="FFFFF9"/>
        <w:spacing w:before="120" w:after="120" w:line="240" w:lineRule="auto"/>
        <w:ind w:left="360"/>
        <w:rPr>
          <w:rFonts w:ascii="Verdana" w:eastAsia="Times New Roman" w:hAnsi="Verdana" w:cs="Times New Roman"/>
          <w:color w:val="333333"/>
          <w:sz w:val="17"/>
          <w:szCs w:val="17"/>
        </w:rPr>
      </w:pPr>
      <w:r>
        <w:rPr>
          <w:rFonts w:ascii="Verdana" w:eastAsia="Times New Roman" w:hAnsi="Verdana" w:cs="Times New Roman"/>
          <w:color w:val="333333"/>
          <w:sz w:val="17"/>
          <w:szCs w:val="17"/>
        </w:rPr>
        <w:t>T</w:t>
      </w:r>
      <w:r w:rsidR="00353104" w:rsidRPr="00353104">
        <w:rPr>
          <w:rFonts w:ascii="Verdana" w:eastAsia="Times New Roman" w:hAnsi="Verdana" w:cs="Times New Roman"/>
          <w:color w:val="333333"/>
          <w:sz w:val="17"/>
          <w:szCs w:val="17"/>
        </w:rPr>
        <w:t>he</w:t>
      </w:r>
      <w:r w:rsidR="005A4066">
        <w:rPr>
          <w:rFonts w:ascii="Verdana" w:eastAsia="Times New Roman" w:hAnsi="Verdana" w:cs="Times New Roman"/>
          <w:color w:val="333333"/>
          <w:sz w:val="17"/>
          <w:szCs w:val="17"/>
        </w:rPr>
        <w:t xml:space="preserve"> firm's termination policy; and</w:t>
      </w:r>
    </w:p>
    <w:p w:rsidR="00353104" w:rsidRPr="00353104" w:rsidRDefault="002824ED" w:rsidP="002E02BA">
      <w:pPr>
        <w:numPr>
          <w:ilvl w:val="1"/>
          <w:numId w:val="4"/>
        </w:numPr>
        <w:shd w:val="clear" w:color="auto" w:fill="FFFFF9"/>
        <w:spacing w:before="120" w:after="120" w:line="240" w:lineRule="auto"/>
        <w:ind w:left="360"/>
        <w:rPr>
          <w:rFonts w:ascii="Verdana" w:eastAsia="Times New Roman" w:hAnsi="Verdana" w:cs="Times New Roman"/>
          <w:color w:val="333333"/>
          <w:sz w:val="17"/>
          <w:szCs w:val="17"/>
        </w:rPr>
      </w:pPr>
      <w:r>
        <w:rPr>
          <w:rFonts w:ascii="Verdana" w:eastAsia="Times New Roman" w:hAnsi="Verdana" w:cs="Times New Roman"/>
          <w:color w:val="333333"/>
          <w:sz w:val="17"/>
          <w:szCs w:val="17"/>
        </w:rPr>
        <w:t>A</w:t>
      </w:r>
      <w:r w:rsidR="00353104" w:rsidRPr="00353104">
        <w:rPr>
          <w:rFonts w:ascii="Verdana" w:eastAsia="Times New Roman" w:hAnsi="Verdana" w:cs="Times New Roman"/>
          <w:color w:val="333333"/>
          <w:sz w:val="17"/>
          <w:szCs w:val="17"/>
        </w:rPr>
        <w:t xml:space="preserve"> refund policy, if applicable.</w:t>
      </w:r>
    </w:p>
    <w:p w:rsidR="00EF7DC4" w:rsidRDefault="00353104" w:rsidP="00EF7DC4">
      <w:pPr>
        <w:numPr>
          <w:ilvl w:val="0"/>
          <w:numId w:val="4"/>
        </w:numPr>
        <w:shd w:val="clear" w:color="auto" w:fill="FFFFF9"/>
        <w:spacing w:before="120" w:after="120" w:line="240" w:lineRule="auto"/>
        <w:ind w:left="0"/>
        <w:rPr>
          <w:rFonts w:ascii="Verdana" w:eastAsia="Times New Roman" w:hAnsi="Verdana" w:cs="Times New Roman"/>
          <w:color w:val="333333"/>
          <w:sz w:val="17"/>
          <w:szCs w:val="17"/>
        </w:rPr>
      </w:pPr>
      <w:r w:rsidRPr="00353104">
        <w:rPr>
          <w:rFonts w:ascii="Verdana" w:eastAsia="Times New Roman" w:hAnsi="Verdana" w:cs="Times New Roman"/>
          <w:color w:val="333333"/>
          <w:sz w:val="17"/>
          <w:szCs w:val="17"/>
        </w:rPr>
        <w:t>T</w:t>
      </w:r>
      <w:r w:rsidR="00D9658B">
        <w:rPr>
          <w:rFonts w:ascii="Verdana" w:eastAsia="Times New Roman" w:hAnsi="Verdana" w:cs="Times New Roman"/>
          <w:color w:val="333333"/>
          <w:sz w:val="17"/>
          <w:szCs w:val="17"/>
        </w:rPr>
        <w:t>he fee schedule in the contract</w:t>
      </w:r>
      <w:r w:rsidRPr="00353104">
        <w:rPr>
          <w:rFonts w:ascii="Verdana" w:eastAsia="Times New Roman" w:hAnsi="Verdana" w:cs="Times New Roman"/>
          <w:color w:val="333333"/>
          <w:sz w:val="17"/>
          <w:szCs w:val="17"/>
        </w:rPr>
        <w:t xml:space="preserve"> must match the fee schedule discussed in the Form ADV Part 2. Additionally, the type of compensation described in the contract must match what was described in Item 5 of Part 2.A and the form of compensation marked in Item 5.E of Part 1.</w:t>
      </w:r>
    </w:p>
    <w:p w:rsidR="00B83EAE" w:rsidRPr="00EF7DC4" w:rsidRDefault="00B83EAE" w:rsidP="00F52F81">
      <w:pPr>
        <w:numPr>
          <w:ilvl w:val="0"/>
          <w:numId w:val="4"/>
        </w:numPr>
        <w:shd w:val="clear" w:color="auto" w:fill="FFFFF9"/>
        <w:spacing w:before="120" w:after="120" w:line="240" w:lineRule="auto"/>
        <w:ind w:left="0"/>
        <w:jc w:val="both"/>
        <w:rPr>
          <w:rFonts w:ascii="Verdana" w:eastAsia="Times New Roman" w:hAnsi="Verdana" w:cs="Times New Roman"/>
          <w:color w:val="333333"/>
          <w:sz w:val="17"/>
          <w:szCs w:val="17"/>
        </w:rPr>
      </w:pPr>
      <w:r>
        <w:rPr>
          <w:rFonts w:ascii="Verdana" w:eastAsia="Times New Roman" w:hAnsi="Verdana" w:cs="Times New Roman"/>
          <w:color w:val="333333"/>
          <w:sz w:val="17"/>
          <w:szCs w:val="17"/>
        </w:rPr>
        <w:t>It i</w:t>
      </w:r>
      <w:r w:rsidR="00D9658B">
        <w:rPr>
          <w:rFonts w:ascii="Verdana" w:eastAsia="Times New Roman" w:hAnsi="Verdana" w:cs="Times New Roman"/>
          <w:color w:val="333333"/>
          <w:sz w:val="17"/>
          <w:szCs w:val="17"/>
        </w:rPr>
        <w:t>s recommended that the contract</w:t>
      </w:r>
      <w:r>
        <w:rPr>
          <w:rFonts w:ascii="Verdana" w:eastAsia="Times New Roman" w:hAnsi="Verdana" w:cs="Times New Roman"/>
          <w:color w:val="333333"/>
          <w:sz w:val="17"/>
          <w:szCs w:val="17"/>
        </w:rPr>
        <w:t xml:space="preserve"> contain a client acknowledgement of receipt of the advi</w:t>
      </w:r>
      <w:r w:rsidR="00CA6295">
        <w:rPr>
          <w:rFonts w:ascii="Verdana" w:eastAsia="Times New Roman" w:hAnsi="Verdana" w:cs="Times New Roman"/>
          <w:color w:val="333333"/>
          <w:sz w:val="17"/>
          <w:szCs w:val="17"/>
        </w:rPr>
        <w:t>sors privacy policy and Part 2.</w:t>
      </w:r>
    </w:p>
    <w:p w:rsidR="00595545" w:rsidRDefault="00595545" w:rsidP="00921BE7">
      <w:pPr>
        <w:pStyle w:val="ListParagraph"/>
        <w:shd w:val="clear" w:color="auto" w:fill="FFFFF9"/>
        <w:spacing w:before="100" w:beforeAutospacing="1" w:after="100" w:afterAutospacing="1" w:line="240" w:lineRule="auto"/>
        <w:ind w:hanging="720"/>
        <w:jc w:val="center"/>
        <w:outlineLvl w:val="1"/>
        <w:rPr>
          <w:rFonts w:ascii="Verdana" w:eastAsia="Times New Roman" w:hAnsi="Verdana" w:cs="Times New Roman"/>
          <w:b/>
          <w:bCs/>
          <w:color w:val="333333"/>
          <w:sz w:val="20"/>
          <w:szCs w:val="20"/>
          <w:u w:val="single"/>
        </w:rPr>
      </w:pPr>
      <w:r>
        <w:rPr>
          <w:rFonts w:ascii="Verdana" w:eastAsia="Times New Roman" w:hAnsi="Verdana" w:cs="Times New Roman"/>
          <w:b/>
          <w:bCs/>
          <w:color w:val="333333"/>
          <w:sz w:val="20"/>
          <w:szCs w:val="20"/>
          <w:u w:val="single"/>
        </w:rPr>
        <w:t>Other Re</w:t>
      </w:r>
      <w:r w:rsidR="00542367">
        <w:rPr>
          <w:rFonts w:ascii="Verdana" w:eastAsia="Times New Roman" w:hAnsi="Verdana" w:cs="Times New Roman"/>
          <w:b/>
          <w:bCs/>
          <w:color w:val="333333"/>
          <w:sz w:val="20"/>
          <w:szCs w:val="20"/>
          <w:u w:val="single"/>
        </w:rPr>
        <w:t>minders</w:t>
      </w:r>
    </w:p>
    <w:p w:rsidR="00542367" w:rsidRPr="00921BE7" w:rsidRDefault="00542367" w:rsidP="00F52F81">
      <w:pPr>
        <w:numPr>
          <w:ilvl w:val="0"/>
          <w:numId w:val="4"/>
        </w:numPr>
        <w:shd w:val="clear" w:color="auto" w:fill="FFFFF9"/>
        <w:spacing w:before="120" w:after="120" w:line="240" w:lineRule="auto"/>
        <w:ind w:left="0"/>
        <w:jc w:val="both"/>
        <w:rPr>
          <w:rFonts w:ascii="Verdana" w:eastAsia="Times New Roman" w:hAnsi="Verdana" w:cs="Times New Roman"/>
          <w:color w:val="333333"/>
          <w:sz w:val="18"/>
          <w:szCs w:val="18"/>
        </w:rPr>
      </w:pPr>
      <w:r>
        <w:rPr>
          <w:rFonts w:ascii="Verdana" w:eastAsia="Times New Roman" w:hAnsi="Verdana" w:cs="Times New Roman"/>
          <w:color w:val="333333"/>
          <w:sz w:val="17"/>
          <w:szCs w:val="17"/>
        </w:rPr>
        <w:t>Balance sheet must be accurate</w:t>
      </w:r>
      <w:r w:rsidR="0094277B">
        <w:rPr>
          <w:rFonts w:ascii="Verdana" w:eastAsia="Times New Roman" w:hAnsi="Verdana" w:cs="Times New Roman"/>
          <w:color w:val="333333"/>
          <w:sz w:val="17"/>
          <w:szCs w:val="17"/>
        </w:rPr>
        <w:t>.  It does not have to be audited, but is required to be prepared substantially in accordance with Generally Accepted Accounting Principles (</w:t>
      </w:r>
      <w:r w:rsidR="00921BE7">
        <w:rPr>
          <w:rFonts w:ascii="Verdana" w:eastAsia="Times New Roman" w:hAnsi="Verdana" w:cs="Times New Roman"/>
          <w:color w:val="333333"/>
          <w:sz w:val="17"/>
          <w:szCs w:val="17"/>
        </w:rPr>
        <w:t>GAAP</w:t>
      </w:r>
      <w:r w:rsidR="00F52F81">
        <w:rPr>
          <w:rFonts w:ascii="Verdana" w:eastAsia="Times New Roman" w:hAnsi="Verdana" w:cs="Times New Roman"/>
          <w:color w:val="333333"/>
          <w:sz w:val="17"/>
          <w:szCs w:val="17"/>
        </w:rPr>
        <w:t>)</w:t>
      </w:r>
      <w:r w:rsidR="00921BE7">
        <w:rPr>
          <w:rFonts w:ascii="Verdana" w:eastAsia="Times New Roman" w:hAnsi="Verdana" w:cs="Times New Roman"/>
          <w:color w:val="333333"/>
          <w:sz w:val="17"/>
          <w:szCs w:val="17"/>
        </w:rPr>
        <w:t>.</w:t>
      </w:r>
    </w:p>
    <w:p w:rsidR="00921BE7" w:rsidRPr="00921BE7" w:rsidRDefault="00921BE7" w:rsidP="00542367">
      <w:pPr>
        <w:numPr>
          <w:ilvl w:val="0"/>
          <w:numId w:val="4"/>
        </w:numPr>
        <w:shd w:val="clear" w:color="auto" w:fill="FFFFF9"/>
        <w:spacing w:before="120" w:after="120" w:line="240" w:lineRule="auto"/>
        <w:ind w:left="0"/>
        <w:rPr>
          <w:rFonts w:ascii="Verdana" w:eastAsia="Times New Roman" w:hAnsi="Verdana" w:cs="Times New Roman"/>
          <w:color w:val="333333"/>
          <w:sz w:val="18"/>
          <w:szCs w:val="18"/>
        </w:rPr>
      </w:pPr>
      <w:r>
        <w:rPr>
          <w:rFonts w:ascii="Verdana" w:eastAsia="Times New Roman" w:hAnsi="Verdana" w:cs="Times New Roman"/>
          <w:color w:val="333333"/>
          <w:sz w:val="17"/>
          <w:szCs w:val="17"/>
        </w:rPr>
        <w:t>$25,000 Indemnity Bond:</w:t>
      </w:r>
    </w:p>
    <w:p w:rsidR="00921BE7" w:rsidRPr="00921BE7" w:rsidRDefault="00921BE7" w:rsidP="00921BE7">
      <w:pPr>
        <w:numPr>
          <w:ilvl w:val="1"/>
          <w:numId w:val="4"/>
        </w:numPr>
        <w:shd w:val="clear" w:color="auto" w:fill="FFFFF9"/>
        <w:tabs>
          <w:tab w:val="clear" w:pos="1440"/>
        </w:tabs>
        <w:spacing w:before="120" w:after="120" w:line="240" w:lineRule="auto"/>
        <w:ind w:left="540" w:hanging="540"/>
        <w:rPr>
          <w:rFonts w:ascii="Verdana" w:eastAsia="Times New Roman" w:hAnsi="Verdana" w:cs="Times New Roman"/>
          <w:color w:val="333333"/>
          <w:sz w:val="18"/>
          <w:szCs w:val="18"/>
        </w:rPr>
      </w:pPr>
      <w:r>
        <w:rPr>
          <w:rFonts w:ascii="Verdana" w:eastAsia="Times New Roman" w:hAnsi="Verdana" w:cs="Times New Roman"/>
          <w:color w:val="333333"/>
          <w:sz w:val="17"/>
          <w:szCs w:val="17"/>
        </w:rPr>
        <w:t>Must be sig</w:t>
      </w:r>
      <w:r w:rsidR="005A4066">
        <w:rPr>
          <w:rFonts w:ascii="Verdana" w:eastAsia="Times New Roman" w:hAnsi="Verdana" w:cs="Times New Roman"/>
          <w:color w:val="333333"/>
          <w:sz w:val="17"/>
          <w:szCs w:val="17"/>
        </w:rPr>
        <w:t>ned by an officer of the firm.</w:t>
      </w:r>
    </w:p>
    <w:p w:rsidR="00EF7DC4" w:rsidRPr="00EF7DC4" w:rsidRDefault="00921BE7" w:rsidP="00EF7DC4">
      <w:pPr>
        <w:numPr>
          <w:ilvl w:val="1"/>
          <w:numId w:val="4"/>
        </w:numPr>
        <w:shd w:val="clear" w:color="auto" w:fill="FFFFF9"/>
        <w:tabs>
          <w:tab w:val="clear" w:pos="1440"/>
        </w:tabs>
        <w:spacing w:before="120" w:after="120" w:line="240" w:lineRule="auto"/>
        <w:ind w:left="540" w:hanging="540"/>
        <w:rPr>
          <w:rFonts w:ascii="Verdana" w:eastAsia="Times New Roman" w:hAnsi="Verdana" w:cs="Times New Roman"/>
          <w:color w:val="333333"/>
          <w:sz w:val="18"/>
          <w:szCs w:val="18"/>
        </w:rPr>
      </w:pPr>
      <w:r>
        <w:rPr>
          <w:rFonts w:ascii="Verdana" w:eastAsia="Times New Roman" w:hAnsi="Verdana" w:cs="Times New Roman"/>
          <w:color w:val="333333"/>
          <w:sz w:val="17"/>
          <w:szCs w:val="17"/>
        </w:rPr>
        <w:t>The original bond must be on file with this Department.  Please make a copy for your records.</w:t>
      </w:r>
    </w:p>
    <w:p w:rsidR="00EF7DC4" w:rsidRPr="00EF7DC4" w:rsidRDefault="004C5367" w:rsidP="00B443DF">
      <w:pPr>
        <w:numPr>
          <w:ilvl w:val="0"/>
          <w:numId w:val="4"/>
        </w:numPr>
        <w:shd w:val="clear" w:color="auto" w:fill="FFFFF9"/>
        <w:spacing w:before="120" w:after="120" w:line="240" w:lineRule="auto"/>
        <w:ind w:left="0"/>
        <w:rPr>
          <w:rFonts w:ascii="Verdana" w:eastAsia="Times New Roman" w:hAnsi="Verdana" w:cs="Times New Roman"/>
          <w:color w:val="333333"/>
          <w:sz w:val="18"/>
          <w:szCs w:val="18"/>
        </w:rPr>
      </w:pPr>
      <w:r>
        <w:rPr>
          <w:rFonts w:ascii="Verdana" w:eastAsia="Times New Roman" w:hAnsi="Verdana" w:cs="Times New Roman"/>
          <w:color w:val="333333"/>
          <w:sz w:val="18"/>
          <w:szCs w:val="18"/>
        </w:rPr>
        <w:t>The Idaho Uniform Securities Act and Rules may be found on our website</w:t>
      </w:r>
      <w:r w:rsidR="00957D56" w:rsidRPr="00957D56">
        <w:rPr>
          <w:rFonts w:ascii="Verdana" w:eastAsia="Times New Roman" w:hAnsi="Verdana" w:cs="Times New Roman"/>
          <w:color w:val="333333"/>
          <w:sz w:val="18"/>
          <w:szCs w:val="18"/>
        </w:rPr>
        <w:t xml:space="preserve"> </w:t>
      </w:r>
      <w:r w:rsidR="00B443DF">
        <w:rPr>
          <w:rFonts w:ascii="Verdana" w:eastAsia="Times New Roman" w:hAnsi="Verdana" w:cs="Times New Roman"/>
          <w:color w:val="333333"/>
          <w:sz w:val="18"/>
          <w:szCs w:val="18"/>
        </w:rPr>
        <w:t xml:space="preserve">at </w:t>
      </w:r>
      <w:r w:rsidR="00410E73">
        <w:rPr>
          <w:rFonts w:ascii="Verdana" w:hAnsi="Verdana" w:cs="Verdana"/>
          <w:color w:val="0000FF"/>
          <w:sz w:val="18"/>
          <w:szCs w:val="18"/>
        </w:rPr>
        <w:t>http://www.finance.idaho.gov</w:t>
      </w:r>
      <w:r w:rsidR="00B443DF">
        <w:rPr>
          <w:rFonts w:ascii="Verdana" w:eastAsia="Times New Roman" w:hAnsi="Verdana" w:cs="Times New Roman"/>
          <w:sz w:val="18"/>
          <w:szCs w:val="18"/>
        </w:rPr>
        <w:t xml:space="preserve"> </w:t>
      </w:r>
      <w:r w:rsidR="00B443DF">
        <w:rPr>
          <w:rFonts w:ascii="Verdana" w:eastAsia="Times New Roman" w:hAnsi="Verdana" w:cs="Times New Roman"/>
          <w:color w:val="333333"/>
          <w:sz w:val="18"/>
          <w:szCs w:val="18"/>
        </w:rPr>
        <w:t xml:space="preserve">under </w:t>
      </w:r>
      <w:r w:rsidR="00B443DF" w:rsidRPr="00F52F81">
        <w:rPr>
          <w:rFonts w:ascii="Verdana" w:eastAsia="Times New Roman" w:hAnsi="Verdana" w:cs="Times New Roman"/>
          <w:i/>
          <w:color w:val="333333"/>
          <w:sz w:val="18"/>
          <w:szCs w:val="18"/>
        </w:rPr>
        <w:t>Statutes</w:t>
      </w:r>
      <w:r w:rsidR="00F52F81" w:rsidRPr="00F52F81">
        <w:rPr>
          <w:rFonts w:ascii="Verdana" w:eastAsia="Times New Roman" w:hAnsi="Verdana" w:cs="Times New Roman"/>
          <w:i/>
          <w:color w:val="333333"/>
          <w:sz w:val="18"/>
          <w:szCs w:val="18"/>
        </w:rPr>
        <w:t xml:space="preserve"> and Rules</w:t>
      </w:r>
      <w:r w:rsidR="00B443DF">
        <w:rPr>
          <w:rFonts w:ascii="Verdana" w:eastAsia="Times New Roman" w:hAnsi="Verdana" w:cs="Times New Roman"/>
          <w:color w:val="333333"/>
          <w:sz w:val="18"/>
          <w:szCs w:val="18"/>
        </w:rPr>
        <w:t>.</w:t>
      </w:r>
    </w:p>
    <w:sectPr w:rsidR="00EF7DC4" w:rsidRPr="00EF7DC4" w:rsidSect="0067081B"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216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460" w:rsidRDefault="00A06460" w:rsidP="007B3B2E">
      <w:pPr>
        <w:spacing w:after="0" w:line="240" w:lineRule="auto"/>
      </w:pPr>
      <w:r>
        <w:separator/>
      </w:r>
    </w:p>
  </w:endnote>
  <w:endnote w:type="continuationSeparator" w:id="0">
    <w:p w:rsidR="00A06460" w:rsidRDefault="00A06460" w:rsidP="007B3B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ovanniITCTT">
    <w:altName w:val="Georgia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4A7" w:rsidRPr="003345C0" w:rsidRDefault="006804A7" w:rsidP="007B3B2E">
    <w:pPr>
      <w:pStyle w:val="Footer"/>
      <w:jc w:val="center"/>
      <w:rPr>
        <w:rFonts w:ascii="Verdana" w:hAnsi="Verdana"/>
        <w:sz w:val="18"/>
        <w:szCs w:val="18"/>
      </w:rPr>
    </w:pPr>
    <w:r w:rsidRPr="003345C0">
      <w:rPr>
        <w:rFonts w:ascii="Verdana" w:hAnsi="Verdana"/>
        <w:sz w:val="18"/>
        <w:szCs w:val="18"/>
      </w:rPr>
      <w:t xml:space="preserve">Page </w:t>
    </w:r>
    <w:r w:rsidRPr="003345C0">
      <w:rPr>
        <w:rFonts w:ascii="Verdana" w:hAnsi="Verdana"/>
        <w:b/>
        <w:sz w:val="18"/>
        <w:szCs w:val="18"/>
      </w:rPr>
      <w:fldChar w:fldCharType="begin"/>
    </w:r>
    <w:r w:rsidRPr="003345C0">
      <w:rPr>
        <w:rFonts w:ascii="Verdana" w:hAnsi="Verdana"/>
        <w:b/>
        <w:sz w:val="18"/>
        <w:szCs w:val="18"/>
      </w:rPr>
      <w:instrText xml:space="preserve"> PAGE  \* Arabic  \* MERGEFORMAT </w:instrText>
    </w:r>
    <w:r w:rsidRPr="003345C0">
      <w:rPr>
        <w:rFonts w:ascii="Verdana" w:hAnsi="Verdana"/>
        <w:b/>
        <w:sz w:val="18"/>
        <w:szCs w:val="18"/>
      </w:rPr>
      <w:fldChar w:fldCharType="separate"/>
    </w:r>
    <w:r w:rsidR="0047283D">
      <w:rPr>
        <w:rFonts w:ascii="Verdana" w:hAnsi="Verdana"/>
        <w:b/>
        <w:noProof/>
        <w:sz w:val="18"/>
        <w:szCs w:val="18"/>
      </w:rPr>
      <w:t>2</w:t>
    </w:r>
    <w:r w:rsidRPr="003345C0">
      <w:rPr>
        <w:rFonts w:ascii="Verdana" w:hAnsi="Verdana"/>
        <w:b/>
        <w:sz w:val="18"/>
        <w:szCs w:val="18"/>
      </w:rPr>
      <w:fldChar w:fldCharType="end"/>
    </w:r>
    <w:r w:rsidRPr="003345C0">
      <w:rPr>
        <w:rFonts w:ascii="Verdana" w:hAnsi="Verdana"/>
        <w:sz w:val="18"/>
        <w:szCs w:val="18"/>
      </w:rPr>
      <w:t xml:space="preserve"> of </w:t>
    </w:r>
    <w:r w:rsidRPr="003345C0">
      <w:rPr>
        <w:rFonts w:ascii="Verdana" w:hAnsi="Verdana"/>
        <w:b/>
        <w:sz w:val="18"/>
        <w:szCs w:val="18"/>
      </w:rPr>
      <w:fldChar w:fldCharType="begin"/>
    </w:r>
    <w:r w:rsidRPr="003345C0">
      <w:rPr>
        <w:rFonts w:ascii="Verdana" w:hAnsi="Verdana"/>
        <w:b/>
        <w:sz w:val="18"/>
        <w:szCs w:val="18"/>
      </w:rPr>
      <w:instrText xml:space="preserve"> NUMPAGES  \* Arabic  \* MERGEFORMAT </w:instrText>
    </w:r>
    <w:r w:rsidRPr="003345C0">
      <w:rPr>
        <w:rFonts w:ascii="Verdana" w:hAnsi="Verdana"/>
        <w:b/>
        <w:sz w:val="18"/>
        <w:szCs w:val="18"/>
      </w:rPr>
      <w:fldChar w:fldCharType="separate"/>
    </w:r>
    <w:r w:rsidR="0047283D">
      <w:rPr>
        <w:rFonts w:ascii="Verdana" w:hAnsi="Verdana"/>
        <w:b/>
        <w:noProof/>
        <w:sz w:val="18"/>
        <w:szCs w:val="18"/>
      </w:rPr>
      <w:t>2</w:t>
    </w:r>
    <w:r w:rsidRPr="003345C0">
      <w:rPr>
        <w:rFonts w:ascii="Verdana" w:hAnsi="Verdana"/>
        <w:b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6179835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6804A7" w:rsidRDefault="006804A7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7283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7283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804A7" w:rsidRDefault="006804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460" w:rsidRDefault="00A06460" w:rsidP="007B3B2E">
      <w:pPr>
        <w:spacing w:after="0" w:line="240" w:lineRule="auto"/>
      </w:pPr>
      <w:r>
        <w:separator/>
      </w:r>
    </w:p>
  </w:footnote>
  <w:footnote w:type="continuationSeparator" w:id="0">
    <w:p w:rsidR="00A06460" w:rsidRDefault="00A06460" w:rsidP="007B3B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4A7" w:rsidRPr="00661B70" w:rsidRDefault="006804A7" w:rsidP="00F02832">
    <w:pPr>
      <w:pStyle w:val="Header"/>
      <w:tabs>
        <w:tab w:val="clear" w:pos="4680"/>
        <w:tab w:val="center" w:pos="9360"/>
      </w:tabs>
      <w:spacing w:line="200" w:lineRule="exact"/>
      <w:jc w:val="center"/>
      <w:rPr>
        <w:rFonts w:ascii="GiovanniITCTT" w:hAnsi="GiovanniITCTT"/>
        <w:b/>
        <w:color w:val="00000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9BE3CA5" wp14:editId="42297702">
          <wp:simplePos x="0" y="0"/>
          <wp:positionH relativeFrom="column">
            <wp:posOffset>1376045</wp:posOffset>
          </wp:positionH>
          <wp:positionV relativeFrom="page">
            <wp:posOffset>459105</wp:posOffset>
          </wp:positionV>
          <wp:extent cx="2793365" cy="907415"/>
          <wp:effectExtent l="0" t="0" r="6985" b="6985"/>
          <wp:wrapTight wrapText="bothSides">
            <wp:wrapPolygon edited="0">
              <wp:start x="0" y="0"/>
              <wp:lineTo x="0" y="21313"/>
              <wp:lineTo x="21507" y="21313"/>
              <wp:lineTo x="21507" y="0"/>
              <wp:lineTo x="0" y="0"/>
            </wp:wrapPolygon>
          </wp:wrapTight>
          <wp:docPr id="1" name="Picture 1" descr="Final_Logo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nal_Logo_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3365" cy="907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35A5"/>
    <w:multiLevelType w:val="hybridMultilevel"/>
    <w:tmpl w:val="4FA49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2643A"/>
    <w:multiLevelType w:val="multilevel"/>
    <w:tmpl w:val="96141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63A7BA1"/>
    <w:multiLevelType w:val="multilevel"/>
    <w:tmpl w:val="3BE66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2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1"/>
  </w:num>
  <w:num w:numId="4">
    <w:abstractNumId w:val="1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104"/>
    <w:rsid w:val="000F63E9"/>
    <w:rsid w:val="001F6324"/>
    <w:rsid w:val="002824ED"/>
    <w:rsid w:val="002E02BA"/>
    <w:rsid w:val="003345C0"/>
    <w:rsid w:val="00353104"/>
    <w:rsid w:val="003724F3"/>
    <w:rsid w:val="003971FE"/>
    <w:rsid w:val="00410E73"/>
    <w:rsid w:val="004178EF"/>
    <w:rsid w:val="004579A1"/>
    <w:rsid w:val="0047283D"/>
    <w:rsid w:val="004C5367"/>
    <w:rsid w:val="00542367"/>
    <w:rsid w:val="00595545"/>
    <w:rsid w:val="005A4066"/>
    <w:rsid w:val="0067081B"/>
    <w:rsid w:val="006804A7"/>
    <w:rsid w:val="006E2F04"/>
    <w:rsid w:val="007B3B2E"/>
    <w:rsid w:val="00873EE7"/>
    <w:rsid w:val="008C772C"/>
    <w:rsid w:val="008D4644"/>
    <w:rsid w:val="008E2F0D"/>
    <w:rsid w:val="00921BE7"/>
    <w:rsid w:val="0094277B"/>
    <w:rsid w:val="00957D56"/>
    <w:rsid w:val="00A06460"/>
    <w:rsid w:val="00A210C9"/>
    <w:rsid w:val="00B443DF"/>
    <w:rsid w:val="00B6792E"/>
    <w:rsid w:val="00B83EAE"/>
    <w:rsid w:val="00BF5648"/>
    <w:rsid w:val="00C40F78"/>
    <w:rsid w:val="00CA6295"/>
    <w:rsid w:val="00D03B53"/>
    <w:rsid w:val="00D9658B"/>
    <w:rsid w:val="00DB70DE"/>
    <w:rsid w:val="00DF5289"/>
    <w:rsid w:val="00E44451"/>
    <w:rsid w:val="00EF7DC4"/>
    <w:rsid w:val="00F02832"/>
    <w:rsid w:val="00F5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docId w15:val="{62DF136D-7623-4FEC-B03C-A017F077E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3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1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7B3B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3B2E"/>
  </w:style>
  <w:style w:type="paragraph" w:styleId="Footer">
    <w:name w:val="footer"/>
    <w:basedOn w:val="Normal"/>
    <w:link w:val="FooterChar"/>
    <w:uiPriority w:val="99"/>
    <w:unhideWhenUsed/>
    <w:rsid w:val="007B3B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3B2E"/>
  </w:style>
  <w:style w:type="paragraph" w:styleId="ListParagraph">
    <w:name w:val="List Paragraph"/>
    <w:basedOn w:val="Normal"/>
    <w:uiPriority w:val="34"/>
    <w:qFormat/>
    <w:rsid w:val="0059554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53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3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37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21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31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23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674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islature.idaho.gov/statutesrules/idstat/Title30/T30CH14/SECT30-14-506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FBD89-9465-4E65-ACBE-159531421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Idaho Department of Finance</Company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Ginnie Sorensen</dc:creator>
  <cp:lastModifiedBy>Mary Harper</cp:lastModifiedBy>
  <cp:revision>31</cp:revision>
  <cp:lastPrinted>2017-08-29T12:36:00Z</cp:lastPrinted>
  <dcterms:created xsi:type="dcterms:W3CDTF">2012-03-09T14:23:00Z</dcterms:created>
  <dcterms:modified xsi:type="dcterms:W3CDTF">2020-05-28T19:07:00Z</dcterms:modified>
</cp:coreProperties>
</file>